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Synbot Implementation Architecture &amp; Deployment Blueprint</w:t>
      </w:r>
    </w:p>
    <w:p>
      <w:pPr>
        <w:jc w:val="center"/>
      </w:pPr>
      <w:r>
        <w:rPr>
          <w:i/>
        </w:rPr>
        <w:t>Document 06 • Version 1.0</w:t>
      </w:r>
    </w:p>
    <w:p>
      <w:pPr>
        <w:jc w:val="center"/>
      </w:pPr>
      <w:r>
        <w:rPr>
          <w:b/>
        </w:rPr>
        <w:t>Turning the Synbot standards into a reusable implementation system</w:t>
      </w:r>
    </w:p>
    <w:p>
      <w:pPr>
        <w:pStyle w:val="Heading1"/>
      </w:pPr>
      <w:r>
        <w:t>1. Purpose</w:t>
      </w:r>
    </w:p>
    <w:p>
      <w:r>
        <w:t>Documents 1–5 define Synbot's behaviour, voice, intelligence and grounding, prompt architecture, and quality controls. Document 6 defines the implementation architecture that makes those standards reusable across domains and clients.</w:t>
      </w:r>
    </w:p>
    <w:p>
      <w:r>
        <w:t>The objective is not to create a separate chatbot for every client. The objective is to build one Synbot platform with a stable core and configurable domain, client, role, data, tool and interface layers.</w:t>
      </w:r>
    </w:p>
    <w:p>
      <w:pPr>
        <w:pStyle w:val="Heading1"/>
      </w:pPr>
      <w:r>
        <w:t>2. Architecture Principle</w:t>
      </w:r>
    </w:p>
    <w:p>
      <w:pPr>
        <w:pStyle w:val="IntenseQuote"/>
      </w:pPr>
      <w:r>
        <w:t>One Synbot core. Many configurations. One quality standard.</w:t>
      </w:r>
    </w:p>
    <w:p>
      <w:r>
        <w:t>The implementation should separate five concerns: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Layer</w:t>
            </w:r>
          </w:p>
        </w:tc>
        <w:tc>
          <w:tcPr>
            <w:tcW w:type="dxa" w:w="3312"/>
            <w:shd w:fill="EAF2F8"/>
            <w:vAlign w:val="center"/>
          </w:tcPr>
          <w:p>
            <w:r>
              <w:rPr>
                <w:b/>
              </w:rPr>
              <w:t>Responsibility</w:t>
            </w:r>
          </w:p>
        </w:tc>
        <w:tc>
          <w:tcPr>
            <w:tcW w:type="dxa" w:w="3312"/>
            <w:shd w:fill="EAF2F8"/>
            <w:vAlign w:val="center"/>
          </w:tcPr>
          <w:p>
            <w:r>
              <w:rPr>
                <w:b/>
              </w:rPr>
              <w:t>Should change per client?</w:t>
            </w:r>
          </w:p>
        </w:tc>
      </w:tr>
      <w:tr>
        <w:tc>
          <w:tcPr>
            <w:tcW w:type="dxa" w:w="3312"/>
            <w:vAlign w:val="top"/>
          </w:tcPr>
          <w:p>
            <w:r>
              <w:t>Core</w:t>
            </w:r>
          </w:p>
        </w:tc>
        <w:tc>
          <w:tcPr>
            <w:tcW w:type="dxa" w:w="3312"/>
            <w:vAlign w:val="top"/>
          </w:tcPr>
          <w:p>
            <w:r>
              <w:t>Conversation, routing, grounding rules, safety, evaluation hooks</w:t>
            </w:r>
          </w:p>
        </w:tc>
        <w:tc>
          <w:tcPr>
            <w:tcW w:type="dxa" w:w="3312"/>
            <w:vAlign w:val="top"/>
          </w:tcPr>
          <w:p>
            <w:r>
              <w:t>Rarely</w:t>
            </w:r>
          </w:p>
        </w:tc>
      </w:tr>
      <w:tr>
        <w:tc>
          <w:tcPr>
            <w:tcW w:type="dxa" w:w="3312"/>
            <w:vAlign w:val="top"/>
          </w:tcPr>
          <w:p>
            <w:r>
              <w:t>Domain</w:t>
            </w:r>
          </w:p>
        </w:tc>
        <w:tc>
          <w:tcPr>
            <w:tcW w:type="dxa" w:w="3312"/>
            <w:vAlign w:val="top"/>
          </w:tcPr>
          <w:p>
            <w:r>
              <w:t>Health, Pharma, Finance, Energy, etc.</w:t>
            </w:r>
          </w:p>
        </w:tc>
        <w:tc>
          <w:tcPr>
            <w:tcW w:type="dxa" w:w="3312"/>
            <w:vAlign w:val="top"/>
          </w:tcPr>
          <w:p>
            <w:r>
              <w:t>Yes</w:t>
            </w:r>
          </w:p>
        </w:tc>
      </w:tr>
      <w:tr>
        <w:tc>
          <w:tcPr>
            <w:tcW w:type="dxa" w:w="3312"/>
            <w:vAlign w:val="top"/>
          </w:tcPr>
          <w:p>
            <w:r>
              <w:t>Client</w:t>
            </w:r>
          </w:p>
        </w:tc>
        <w:tc>
          <w:tcPr>
            <w:tcW w:type="dxa" w:w="3312"/>
            <w:vAlign w:val="top"/>
          </w:tcPr>
          <w:p>
            <w:r>
              <w:t>Organisation-specific data, policies, terminology and workflows</w:t>
            </w:r>
          </w:p>
        </w:tc>
        <w:tc>
          <w:tcPr>
            <w:tcW w:type="dxa" w:w="3312"/>
            <w:vAlign w:val="top"/>
          </w:tcPr>
          <w:p>
            <w:r>
              <w:t>Yes</w:t>
            </w:r>
          </w:p>
        </w:tc>
      </w:tr>
      <w:tr>
        <w:tc>
          <w:tcPr>
            <w:tcW w:type="dxa" w:w="3312"/>
            <w:vAlign w:val="top"/>
          </w:tcPr>
          <w:p>
            <w:r>
              <w:t>Role</w:t>
            </w:r>
          </w:p>
        </w:tc>
        <w:tc>
          <w:tcPr>
            <w:tcW w:type="dxa" w:w="3312"/>
            <w:vAlign w:val="top"/>
          </w:tcPr>
          <w:p>
            <w:r>
              <w:t>Permissions, responsibilities and allowed actions</w:t>
            </w:r>
          </w:p>
        </w:tc>
        <w:tc>
          <w:tcPr>
            <w:tcW w:type="dxa" w:w="3312"/>
            <w:vAlign w:val="top"/>
          </w:tcPr>
          <w:p>
            <w:r>
              <w:t>Yes</w:t>
            </w:r>
          </w:p>
        </w:tc>
      </w:tr>
      <w:tr>
        <w:tc>
          <w:tcPr>
            <w:tcW w:type="dxa" w:w="3312"/>
            <w:vAlign w:val="top"/>
          </w:tcPr>
          <w:p>
            <w:r>
              <w:t>Runtime</w:t>
            </w:r>
          </w:p>
        </w:tc>
        <w:tc>
          <w:tcPr>
            <w:tcW w:type="dxa" w:w="3312"/>
            <w:vAlign w:val="top"/>
          </w:tcPr>
          <w:p>
            <w:r>
              <w:t>Current company, user, conversation, retrieved evidence and tool state</w:t>
            </w:r>
          </w:p>
        </w:tc>
        <w:tc>
          <w:tcPr>
            <w:tcW w:type="dxa" w:w="3312"/>
            <w:vAlign w:val="top"/>
          </w:tcPr>
          <w:p>
            <w:r>
              <w:t>Continuously</w:t>
            </w:r>
          </w:p>
        </w:tc>
      </w:tr>
    </w:tbl>
    <w:p>
      <w:pPr>
        <w:pStyle w:val="Heading1"/>
      </w:pPr>
      <w:r>
        <w:t>3. Reference Architecture</w:t>
      </w:r>
    </w:p>
    <w:p>
      <w:r>
        <w:t>Recommended logical flow:</w:t>
      </w:r>
    </w:p>
    <w:p>
      <w:pPr>
        <w:pStyle w:val="IntenseQuote"/>
      </w:pPr>
      <w:r>
        <w:t>User → Experience Layer → Synbot Gateway → Context/Identity → Router → Evidence &amp; Tools → Reasoning → Response Guard → Evaluation/Telemetry → User</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Component</w:t>
            </w:r>
          </w:p>
        </w:tc>
        <w:tc>
          <w:tcPr>
            <w:tcW w:type="dxa" w:w="4968"/>
            <w:shd w:fill="EAF2F8"/>
            <w:vAlign w:val="center"/>
          </w:tcPr>
          <w:p>
            <w:r>
              <w:rPr>
                <w:b/>
              </w:rPr>
              <w:t>Primary responsibility</w:t>
            </w:r>
          </w:p>
        </w:tc>
      </w:tr>
      <w:tr>
        <w:tc>
          <w:tcPr>
            <w:tcW w:type="dxa" w:w="4968"/>
            <w:vAlign w:val="top"/>
          </w:tcPr>
          <w:p>
            <w:r>
              <w:t>Experience Layer</w:t>
            </w:r>
          </w:p>
        </w:tc>
        <w:tc>
          <w:tcPr>
            <w:tcW w:type="dxa" w:w="4968"/>
            <w:vAlign w:val="top"/>
          </w:tcPr>
          <w:p>
            <w:r>
              <w:t>Web/mobile/admin/chat UI and streaming response</w:t>
            </w:r>
          </w:p>
        </w:tc>
      </w:tr>
      <w:tr>
        <w:tc>
          <w:tcPr>
            <w:tcW w:type="dxa" w:w="4968"/>
            <w:vAlign w:val="top"/>
          </w:tcPr>
          <w:p>
            <w:r>
              <w:t>Synbot Gateway</w:t>
            </w:r>
          </w:p>
        </w:tc>
        <w:tc>
          <w:tcPr>
            <w:tcW w:type="dxa" w:w="4968"/>
            <w:vAlign w:val="top"/>
          </w:tcPr>
          <w:p>
            <w:r>
              <w:t>Authentication, request validation, tenant boundary and session entry</w:t>
            </w:r>
          </w:p>
        </w:tc>
      </w:tr>
      <w:tr>
        <w:tc>
          <w:tcPr>
            <w:tcW w:type="dxa" w:w="4968"/>
            <w:vAlign w:val="top"/>
          </w:tcPr>
          <w:p>
            <w:r>
              <w:t>Identity &amp; Context</w:t>
            </w:r>
          </w:p>
        </w:tc>
        <w:tc>
          <w:tcPr>
            <w:tcW w:type="dxa" w:w="4968"/>
            <w:vAlign w:val="top"/>
          </w:tcPr>
          <w:p>
            <w:r>
              <w:t>User, role, company, permissions and conversation state</w:t>
            </w:r>
          </w:p>
        </w:tc>
      </w:tr>
      <w:tr>
        <w:tc>
          <w:tcPr>
            <w:tcW w:type="dxa" w:w="4968"/>
            <w:vAlign w:val="top"/>
          </w:tcPr>
          <w:p>
            <w:r>
              <w:t>Router</w:t>
            </w:r>
          </w:p>
        </w:tc>
        <w:tc>
          <w:tcPr>
            <w:tcW w:type="dxa" w:w="4968"/>
            <w:vAlign w:val="top"/>
          </w:tcPr>
          <w:p>
            <w:r>
              <w:t>Determine intent, domain, evidence path and required tools</w:t>
            </w:r>
          </w:p>
        </w:tc>
      </w:tr>
      <w:tr>
        <w:tc>
          <w:tcPr>
            <w:tcW w:type="dxa" w:w="4968"/>
            <w:vAlign w:val="top"/>
          </w:tcPr>
          <w:p>
            <w:r>
              <w:t>Evidence Layer</w:t>
            </w:r>
          </w:p>
        </w:tc>
        <w:tc>
          <w:tcPr>
            <w:tcW w:type="dxa" w:w="4968"/>
            <w:vAlign w:val="top"/>
          </w:tcPr>
          <w:p>
            <w:r>
              <w:t>RAG, databases, APIs, reports and approved documents</w:t>
            </w:r>
          </w:p>
        </w:tc>
      </w:tr>
      <w:tr>
        <w:tc>
          <w:tcPr>
            <w:tcW w:type="dxa" w:w="4968"/>
            <w:vAlign w:val="top"/>
          </w:tcPr>
          <w:p>
            <w:r>
              <w:t>Tool Layer</w:t>
            </w:r>
          </w:p>
        </w:tc>
        <w:tc>
          <w:tcPr>
            <w:tcW w:type="dxa" w:w="4968"/>
            <w:vAlign w:val="top"/>
          </w:tcPr>
          <w:p>
            <w:r>
              <w:t>Read/write/action capabilities with explicit contracts</w:t>
            </w:r>
          </w:p>
        </w:tc>
      </w:tr>
      <w:tr>
        <w:tc>
          <w:tcPr>
            <w:tcW w:type="dxa" w:w="4968"/>
            <w:vAlign w:val="top"/>
          </w:tcPr>
          <w:p>
            <w:r>
              <w:t>Reasoning Layer</w:t>
            </w:r>
          </w:p>
        </w:tc>
        <w:tc>
          <w:tcPr>
            <w:tcW w:type="dxa" w:w="4968"/>
            <w:vAlign w:val="top"/>
          </w:tcPr>
          <w:p>
            <w:r>
              <w:t>Interpret evidence and construct response/action</w:t>
            </w:r>
          </w:p>
        </w:tc>
      </w:tr>
      <w:tr>
        <w:tc>
          <w:tcPr>
            <w:tcW w:type="dxa" w:w="4968"/>
            <w:vAlign w:val="top"/>
          </w:tcPr>
          <w:p>
            <w:r>
              <w:t>Response Guard</w:t>
            </w:r>
          </w:p>
        </w:tc>
        <w:tc>
          <w:tcPr>
            <w:tcW w:type="dxa" w:w="4968"/>
            <w:vAlign w:val="top"/>
          </w:tcPr>
          <w:p>
            <w:r>
              <w:t>Check grounding, permissions, confidence and output contract</w:t>
            </w:r>
          </w:p>
        </w:tc>
      </w:tr>
      <w:tr>
        <w:tc>
          <w:tcPr>
            <w:tcW w:type="dxa" w:w="4968"/>
            <w:vAlign w:val="top"/>
          </w:tcPr>
          <w:p>
            <w:r>
              <w:t>Evaluation &amp; Telemetry</w:t>
            </w:r>
          </w:p>
        </w:tc>
        <w:tc>
          <w:tcPr>
            <w:tcW w:type="dxa" w:w="4968"/>
            <w:vAlign w:val="top"/>
          </w:tcPr>
          <w:p>
            <w:r>
              <w:t>Logging, test hooks, metrics, feedback and regression signals</w:t>
            </w:r>
          </w:p>
        </w:tc>
      </w:tr>
    </w:tbl>
    <w:p>
      <w:pPr>
        <w:pStyle w:val="Heading1"/>
      </w:pPr>
      <w:r>
        <w:t>4. The Synbot Runtime Pipeline</w:t>
      </w:r>
    </w:p>
    <w:p>
      <w:pPr>
        <w:pStyle w:val="ListNumber"/>
      </w:pPr>
      <w:r>
        <w:t>1. Authenticate the user and establish the active tenant/company boundary.</w:t>
      </w:r>
    </w:p>
    <w:p>
      <w:pPr>
        <w:pStyle w:val="ListNumber"/>
      </w:pPr>
      <w:r>
        <w:t>2. Load role and permission context.</w:t>
      </w:r>
    </w:p>
    <w:p>
      <w:pPr>
        <w:pStyle w:val="ListNumber"/>
      </w:pPr>
      <w:r>
        <w:t>3. Load only relevant conversation/runtime context.</w:t>
      </w:r>
    </w:p>
    <w:p>
      <w:pPr>
        <w:pStyle w:val="ListNumber"/>
      </w:pPr>
      <w:r>
        <w:t>4. Classify the request: informational, retrieval, transactional, analytical, or action-oriented.</w:t>
      </w:r>
    </w:p>
    <w:p>
      <w:pPr>
        <w:pStyle w:val="ListNumber"/>
      </w:pPr>
      <w:r>
        <w:t>5. Select the appropriate evidence path.</w:t>
      </w:r>
    </w:p>
    <w:p>
      <w:pPr>
        <w:pStyle w:val="ListNumber"/>
      </w:pPr>
      <w:r>
        <w:t>6. Retrieve structured records, documents, or invoke authorised tools.</w:t>
      </w:r>
    </w:p>
    <w:p>
      <w:pPr>
        <w:pStyle w:val="ListNumber"/>
      </w:pPr>
      <w:r>
        <w:t>7. Validate evidence quality and resolve conflicts where possible.</w:t>
      </w:r>
    </w:p>
    <w:p>
      <w:pPr>
        <w:pStyle w:val="ListNumber"/>
      </w:pPr>
      <w:r>
        <w:t>8. Build the reasoning context from only relevant evidence.</w:t>
      </w:r>
    </w:p>
    <w:p>
      <w:pPr>
        <w:pStyle w:val="ListNumber"/>
      </w:pPr>
      <w:r>
        <w:t>9. Generate the response or proposed action.</w:t>
      </w:r>
    </w:p>
    <w:p>
      <w:pPr>
        <w:pStyle w:val="ListNumber"/>
      </w:pPr>
      <w:r>
        <w:t>10. Apply response/action validation.</w:t>
      </w:r>
    </w:p>
    <w:p>
      <w:pPr>
        <w:pStyle w:val="ListNumber"/>
      </w:pPr>
      <w:r>
        <w:t>11. Return the result and record appropriate telemetry.</w:t>
      </w:r>
    </w:p>
    <w:p>
      <w:pPr>
        <w:pStyle w:val="Heading1"/>
      </w:pPr>
      <w:r>
        <w:t>5. Configuration-Driven Design</w:t>
      </w:r>
    </w:p>
    <w:p>
      <w:r>
        <w:t>Client-specific behaviour should live primarily in configuration rather than duplicated application logic.</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Configuration pack</w:t>
            </w:r>
          </w:p>
        </w:tc>
        <w:tc>
          <w:tcPr>
            <w:tcW w:type="dxa" w:w="4968"/>
            <w:shd w:fill="EAF2F8"/>
            <w:vAlign w:val="center"/>
          </w:tcPr>
          <w:p>
            <w:r>
              <w:rPr>
                <w:b/>
              </w:rPr>
              <w:t>Contains</w:t>
            </w:r>
          </w:p>
        </w:tc>
      </w:tr>
      <w:tr>
        <w:tc>
          <w:tcPr>
            <w:tcW w:type="dxa" w:w="4968"/>
            <w:vAlign w:val="top"/>
          </w:tcPr>
          <w:p>
            <w:r>
              <w:t>Universal Core</w:t>
            </w:r>
          </w:p>
        </w:tc>
        <w:tc>
          <w:tcPr>
            <w:tcW w:type="dxa" w:w="4968"/>
            <w:vAlign w:val="top"/>
          </w:tcPr>
          <w:p>
            <w:r>
              <w:t>Base conversational and grounding rules</w:t>
            </w:r>
          </w:p>
        </w:tc>
      </w:tr>
      <w:tr>
        <w:tc>
          <w:tcPr>
            <w:tcW w:type="dxa" w:w="4968"/>
            <w:vAlign w:val="top"/>
          </w:tcPr>
          <w:p>
            <w:r>
              <w:t>Domain Pack</w:t>
            </w:r>
          </w:p>
        </w:tc>
        <w:tc>
          <w:tcPr>
            <w:tcW w:type="dxa" w:w="4968"/>
            <w:vAlign w:val="top"/>
          </w:tcPr>
          <w:p>
            <w:r>
              <w:t>Domain terminology, workflows, source rules, safety rules</w:t>
            </w:r>
          </w:p>
        </w:tc>
      </w:tr>
      <w:tr>
        <w:tc>
          <w:tcPr>
            <w:tcW w:type="dxa" w:w="4968"/>
            <w:vAlign w:val="top"/>
          </w:tcPr>
          <w:p>
            <w:r>
              <w:t>Client Pack</w:t>
            </w:r>
          </w:p>
        </w:tc>
        <w:tc>
          <w:tcPr>
            <w:tcW w:type="dxa" w:w="4968"/>
            <w:vAlign w:val="top"/>
          </w:tcPr>
          <w:p>
            <w:r>
              <w:t>Organisation identity, policies, systems, terminology, source-of-truth mapping</w:t>
            </w:r>
          </w:p>
        </w:tc>
      </w:tr>
      <w:tr>
        <w:tc>
          <w:tcPr>
            <w:tcW w:type="dxa" w:w="4968"/>
            <w:vAlign w:val="top"/>
          </w:tcPr>
          <w:p>
            <w:r>
              <w:t>Role Pack</w:t>
            </w:r>
          </w:p>
        </w:tc>
        <w:tc>
          <w:tcPr>
            <w:tcW w:type="dxa" w:w="4968"/>
            <w:vAlign w:val="top"/>
          </w:tcPr>
          <w:p>
            <w:r>
              <w:t>Permissions, allowed actions, escalation rules</w:t>
            </w:r>
          </w:p>
        </w:tc>
      </w:tr>
      <w:tr>
        <w:tc>
          <w:tcPr>
            <w:tcW w:type="dxa" w:w="4968"/>
            <w:vAlign w:val="top"/>
          </w:tcPr>
          <w:p>
            <w:r>
              <w:t>Tool Registry</w:t>
            </w:r>
          </w:p>
        </w:tc>
        <w:tc>
          <w:tcPr>
            <w:tcW w:type="dxa" w:w="4968"/>
            <w:vAlign w:val="top"/>
          </w:tcPr>
          <w:p>
            <w:r>
              <w:t>Tool name, purpose, inputs, outputs, permissions and failure behaviour</w:t>
            </w:r>
          </w:p>
        </w:tc>
      </w:tr>
      <w:tr>
        <w:tc>
          <w:tcPr>
            <w:tcW w:type="dxa" w:w="4968"/>
            <w:vAlign w:val="top"/>
          </w:tcPr>
          <w:p>
            <w:r>
              <w:t>Evaluation Pack</w:t>
            </w:r>
          </w:p>
        </w:tc>
        <w:tc>
          <w:tcPr>
            <w:tcW w:type="dxa" w:w="4968"/>
            <w:vAlign w:val="top"/>
          </w:tcPr>
          <w:p>
            <w:r>
              <w:t>Golden tests, adversarial cases and acceptance thresholds</w:t>
            </w:r>
          </w:p>
        </w:tc>
      </w:tr>
    </w:tbl>
    <w:p>
      <w:pPr>
        <w:pStyle w:val="Heading1"/>
      </w:pPr>
      <w:r>
        <w:t>6. Suggested Project Structure</w:t>
      </w:r>
    </w:p>
    <w:p>
      <w:pPr>
        <w:pStyle w:val="IntenseQuote"/>
      </w:pPr>
      <w:r>
        <w:t>synbot/</w:t>
        <w:br/>
        <w:t>├── core/</w:t>
        <w:br/>
        <w:t>│   ├── conversation/</w:t>
        <w:br/>
        <w:t>│   ├── grounding/</w:t>
        <w:br/>
        <w:t>│   ├── routing/</w:t>
        <w:br/>
        <w:t>│   ├── safety/</w:t>
        <w:br/>
        <w:t>│   └── evaluation/</w:t>
        <w:br/>
        <w:t>├── domains/</w:t>
        <w:br/>
        <w:t>│   ├── health/</w:t>
        <w:br/>
        <w:t>│   ├── pharma/</w:t>
        <w:br/>
        <w:t>│   ├── finance/</w:t>
        <w:br/>
        <w:t>│   └── energy/</w:t>
        <w:br/>
        <w:t>├── clients/</w:t>
        <w:br/>
        <w:t>│   ├── royans/</w:t>
        <w:br/>
        <w:t>│   ├── placeware/</w:t>
        <w:br/>
        <w:t>│   └── atiat/</w:t>
        <w:br/>
        <w:t>├── roles/</w:t>
        <w:br/>
        <w:t>├── tools/</w:t>
        <w:br/>
        <w:t>├── retrieval/</w:t>
        <w:br/>
        <w:t>├── data/</w:t>
        <w:br/>
        <w:t>├── prompts/</w:t>
        <w:br/>
        <w:t>├── runtime/</w:t>
        <w:br/>
        <w:t>└── tests/</w:t>
      </w:r>
    </w:p>
    <w:p>
      <w:pPr>
        <w:pStyle w:val="Heading1"/>
      </w:pPr>
      <w:r>
        <w:t>7. Tenant and Company Isolation</w:t>
      </w:r>
    </w:p>
    <w:p>
      <w:r>
        <w:t>Multi-company capability must be enforced at the data and service layers, not only through prompt instructions.</w:t>
      </w:r>
    </w:p>
    <w:p>
      <w:pPr>
        <w:pStyle w:val="ListBullet"/>
      </w:pPr>
      <w:r>
        <w:t>Every request carries an authenticated tenant/company context.</w:t>
      </w:r>
    </w:p>
    <w:p>
      <w:pPr>
        <w:pStyle w:val="ListBullet"/>
      </w:pPr>
      <w:r>
        <w:t>Database queries apply server-side tenant/company filters.</w:t>
      </w:r>
    </w:p>
    <w:p>
      <w:pPr>
        <w:pStyle w:val="ListBullet"/>
      </w:pPr>
      <w:r>
        <w:t>Retrieval indexes or metadata filters enforce the same boundary.</w:t>
      </w:r>
    </w:p>
    <w:p>
      <w:pPr>
        <w:pStyle w:val="ListBullet"/>
      </w:pPr>
      <w:r>
        <w:t>Tool permissions are evaluated against the active role and company.</w:t>
      </w:r>
    </w:p>
    <w:p>
      <w:pPr>
        <w:pStyle w:val="ListBullet"/>
      </w:pPr>
      <w:r>
        <w:t>Company switching is explicit and auditable.</w:t>
      </w:r>
    </w:p>
    <w:p>
      <w:pPr>
        <w:pStyle w:val="ListBullet"/>
      </w:pPr>
      <w:r>
        <w:t>Conversation context must not silently carry records from a previous company.</w:t>
      </w:r>
    </w:p>
    <w:p>
      <w:pPr>
        <w:pStyle w:val="ListBullet"/>
      </w:pPr>
      <w:r>
        <w:t>An LLM prompt is not considered a security boundary.</w:t>
      </w:r>
    </w:p>
    <w:p>
      <w:pPr>
        <w:pStyle w:val="Heading1"/>
      </w:pPr>
      <w:r>
        <w:t>8. Source-of-Truth Registry</w:t>
      </w:r>
    </w:p>
    <w:p>
      <w:r>
        <w:t>Each client should have an explicit source map.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vAlign w:val="center"/>
          </w:tcPr>
          <w:p>
            <w:r>
              <w:rPr>
                <w:b/>
              </w:rPr>
              <w:t>Data type</w:t>
            </w:r>
          </w:p>
        </w:tc>
        <w:tc>
          <w:tcPr>
            <w:tcW w:type="dxa" w:w="1987"/>
            <w:shd w:fill="EAF2F8"/>
            <w:vAlign w:val="center"/>
          </w:tcPr>
          <w:p>
            <w:r>
              <w:rPr>
                <w:b/>
              </w:rPr>
              <w:t>Source</w:t>
            </w:r>
          </w:p>
        </w:tc>
        <w:tc>
          <w:tcPr>
            <w:tcW w:type="dxa" w:w="1987"/>
            <w:shd w:fill="EAF2F8"/>
            <w:vAlign w:val="center"/>
          </w:tcPr>
          <w:p>
            <w:r>
              <w:rPr>
                <w:b/>
              </w:rPr>
              <w:t>Freshness</w:t>
            </w:r>
          </w:p>
        </w:tc>
        <w:tc>
          <w:tcPr>
            <w:tcW w:type="dxa" w:w="1987"/>
            <w:shd w:fill="EAF2F8"/>
            <w:vAlign w:val="center"/>
          </w:tcPr>
          <w:p>
            <w:r>
              <w:rPr>
                <w:b/>
              </w:rPr>
              <w:t>Authority</w:t>
            </w:r>
          </w:p>
        </w:tc>
        <w:tc>
          <w:tcPr>
            <w:tcW w:type="dxa" w:w="1987"/>
            <w:shd w:fill="EAF2F8"/>
            <w:vAlign w:val="center"/>
          </w:tcPr>
          <w:p>
            <w:r>
              <w:rPr>
                <w:b/>
              </w:rPr>
              <w:t>Fallback</w:t>
            </w:r>
          </w:p>
        </w:tc>
      </w:tr>
      <w:tr>
        <w:tc>
          <w:tcPr>
            <w:tcW w:type="dxa" w:w="1987"/>
            <w:vAlign w:val="top"/>
          </w:tcPr>
          <w:p>
            <w:r>
              <w:t>Current transaction</w:t>
            </w:r>
          </w:p>
        </w:tc>
        <w:tc>
          <w:tcPr>
            <w:tcW w:type="dxa" w:w="1987"/>
            <w:vAlign w:val="top"/>
          </w:tcPr>
          <w:p>
            <w:r>
              <w:t>Configured DB/API</w:t>
            </w:r>
          </w:p>
        </w:tc>
        <w:tc>
          <w:tcPr>
            <w:tcW w:type="dxa" w:w="1987"/>
            <w:vAlign w:val="top"/>
          </w:tcPr>
          <w:p>
            <w:r>
              <w:t>Live/near-live</w:t>
            </w:r>
          </w:p>
        </w:tc>
        <w:tc>
          <w:tcPr>
            <w:tcW w:type="dxa" w:w="1987"/>
            <w:vAlign w:val="top"/>
          </w:tcPr>
          <w:p>
            <w:r>
              <w:t>Primary</w:t>
            </w:r>
          </w:p>
        </w:tc>
        <w:tc>
          <w:tcPr>
            <w:tcW w:type="dxa" w:w="1987"/>
            <w:vAlign w:val="top"/>
          </w:tcPr>
          <w:p>
            <w:r>
              <w:t>Authorised cache</w:t>
            </w:r>
          </w:p>
        </w:tc>
      </w:tr>
      <w:tr>
        <w:tc>
          <w:tcPr>
            <w:tcW w:type="dxa" w:w="1987"/>
            <w:vAlign w:val="top"/>
          </w:tcPr>
          <w:p>
            <w:r>
              <w:t>Policy</w:t>
            </w:r>
          </w:p>
        </w:tc>
        <w:tc>
          <w:tcPr>
            <w:tcW w:type="dxa" w:w="1987"/>
            <w:vAlign w:val="top"/>
          </w:tcPr>
          <w:p>
            <w:r>
              <w:t>Approved document repository</w:t>
            </w:r>
          </w:p>
        </w:tc>
        <w:tc>
          <w:tcPr>
            <w:tcW w:type="dxa" w:w="1987"/>
            <w:vAlign w:val="top"/>
          </w:tcPr>
          <w:p>
            <w:r>
              <w:t>Versioned</w:t>
            </w:r>
          </w:p>
        </w:tc>
        <w:tc>
          <w:tcPr>
            <w:tcW w:type="dxa" w:w="1987"/>
            <w:vAlign w:val="top"/>
          </w:tcPr>
          <w:p>
            <w:r>
              <w:t>Primary</w:t>
            </w:r>
          </w:p>
        </w:tc>
        <w:tc>
          <w:tcPr>
            <w:tcW w:type="dxa" w:w="1987"/>
            <w:vAlign w:val="top"/>
          </w:tcPr>
          <w:p>
            <w:r>
              <w:t>Configured prior version</w:t>
            </w:r>
          </w:p>
        </w:tc>
      </w:tr>
      <w:tr>
        <w:tc>
          <w:tcPr>
            <w:tcW w:type="dxa" w:w="1987"/>
            <w:vAlign w:val="top"/>
          </w:tcPr>
          <w:p>
            <w:r>
              <w:t>Historical report</w:t>
            </w:r>
          </w:p>
        </w:tc>
        <w:tc>
          <w:tcPr>
            <w:tcW w:type="dxa" w:w="1987"/>
            <w:vAlign w:val="top"/>
          </w:tcPr>
          <w:p>
            <w:r>
              <w:t>Authorised reporting store</w:t>
            </w:r>
          </w:p>
        </w:tc>
        <w:tc>
          <w:tcPr>
            <w:tcW w:type="dxa" w:w="1987"/>
            <w:vAlign w:val="top"/>
          </w:tcPr>
          <w:p>
            <w:r>
              <w:t>Defined schedule</w:t>
            </w:r>
          </w:p>
        </w:tc>
        <w:tc>
          <w:tcPr>
            <w:tcW w:type="dxa" w:w="1987"/>
            <w:vAlign w:val="top"/>
          </w:tcPr>
          <w:p>
            <w:r>
              <w:t>Primary</w:t>
            </w:r>
          </w:p>
        </w:tc>
        <w:tc>
          <w:tcPr>
            <w:tcW w:type="dxa" w:w="1987"/>
            <w:vAlign w:val="top"/>
          </w:tcPr>
          <w:p>
            <w:r>
              <w:t>Stored report</w:t>
            </w:r>
          </w:p>
        </w:tc>
      </w:tr>
      <w:tr>
        <w:tc>
          <w:tcPr>
            <w:tcW w:type="dxa" w:w="1987"/>
            <w:vAlign w:val="top"/>
          </w:tcPr>
          <w:p>
            <w:r>
              <w:t>Domain explanation</w:t>
            </w:r>
          </w:p>
        </w:tc>
        <w:tc>
          <w:tcPr>
            <w:tcW w:type="dxa" w:w="1987"/>
            <w:vAlign w:val="top"/>
          </w:tcPr>
          <w:p>
            <w:r>
              <w:t>Domain pack</w:t>
            </w:r>
          </w:p>
        </w:tc>
        <w:tc>
          <w:tcPr>
            <w:tcW w:type="dxa" w:w="1987"/>
            <w:vAlign w:val="top"/>
          </w:tcPr>
          <w:p>
            <w:r>
              <w:t>Versioned</w:t>
            </w:r>
          </w:p>
        </w:tc>
        <w:tc>
          <w:tcPr>
            <w:tcW w:type="dxa" w:w="1987"/>
            <w:vAlign w:val="top"/>
          </w:tcPr>
          <w:p>
            <w:r>
              <w:t>Configured</w:t>
            </w:r>
          </w:p>
        </w:tc>
        <w:tc>
          <w:tcPr>
            <w:tcW w:type="dxa" w:w="1987"/>
            <w:vAlign w:val="top"/>
          </w:tcPr>
          <w:p>
            <w:r>
              <w:t>General model knowledge if allowed</w:t>
            </w:r>
          </w:p>
        </w:tc>
      </w:tr>
      <w:tr>
        <w:tc>
          <w:tcPr>
            <w:tcW w:type="dxa" w:w="1987"/>
            <w:vAlign w:val="top"/>
          </w:tcPr>
          <w:p>
            <w:r>
              <w:t>External information</w:t>
            </w:r>
          </w:p>
        </w:tc>
        <w:tc>
          <w:tcPr>
            <w:tcW w:type="dxa" w:w="1987"/>
            <w:vAlign w:val="top"/>
          </w:tcPr>
          <w:p>
            <w:r>
              <w:t>External provider</w:t>
            </w:r>
          </w:p>
        </w:tc>
        <w:tc>
          <w:tcPr>
            <w:tcW w:type="dxa" w:w="1987"/>
            <w:vAlign w:val="top"/>
          </w:tcPr>
          <w:p>
            <w:r>
              <w:t>Current at retrieval</w:t>
            </w:r>
          </w:p>
        </w:tc>
        <w:tc>
          <w:tcPr>
            <w:tcW w:type="dxa" w:w="1987"/>
            <w:vAlign w:val="top"/>
          </w:tcPr>
          <w:p>
            <w:r>
              <w:t>Conditional</w:t>
            </w:r>
          </w:p>
        </w:tc>
        <w:tc>
          <w:tcPr>
            <w:tcW w:type="dxa" w:w="1987"/>
            <w:vAlign w:val="top"/>
          </w:tcPr>
          <w:p>
            <w:r>
              <w:t>None</w:t>
            </w:r>
          </w:p>
        </w:tc>
      </w:tr>
    </w:tbl>
    <w:p>
      <w:pPr>
        <w:pStyle w:val="Heading1"/>
      </w:pPr>
      <w:r>
        <w:t>9. Tool Architecture</w:t>
      </w:r>
    </w:p>
    <w:p>
      <w:r>
        <w:t>Tools should be narrow, explicit and permission-aware.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Tool class</w:t>
            </w:r>
          </w:p>
        </w:tc>
        <w:tc>
          <w:tcPr>
            <w:tcW w:type="dxa" w:w="3312"/>
            <w:shd w:fill="EAF2F8"/>
            <w:vAlign w:val="center"/>
          </w:tcPr>
          <w:p>
            <w:r>
              <w:rPr>
                <w:b/>
              </w:rPr>
              <w:t>Examples</w:t>
            </w:r>
          </w:p>
        </w:tc>
        <w:tc>
          <w:tcPr>
            <w:tcW w:type="dxa" w:w="3312"/>
            <w:shd w:fill="EAF2F8"/>
            <w:vAlign w:val="center"/>
          </w:tcPr>
          <w:p>
            <w:r>
              <w:rPr>
                <w:b/>
              </w:rPr>
              <w:t>Rule</w:t>
            </w:r>
          </w:p>
        </w:tc>
      </w:tr>
      <w:tr>
        <w:tc>
          <w:tcPr>
            <w:tcW w:type="dxa" w:w="3312"/>
            <w:vAlign w:val="top"/>
          </w:tcPr>
          <w:p>
            <w:r>
              <w:t>Read</w:t>
            </w:r>
          </w:p>
        </w:tc>
        <w:tc>
          <w:tcPr>
            <w:tcW w:type="dxa" w:w="3312"/>
            <w:vAlign w:val="top"/>
          </w:tcPr>
          <w:p>
            <w:r>
              <w:t>get_patient, get_stock, get_claim</w:t>
            </w:r>
          </w:p>
        </w:tc>
        <w:tc>
          <w:tcPr>
            <w:tcW w:type="dxa" w:w="3312"/>
            <w:vAlign w:val="top"/>
          </w:tcPr>
          <w:p>
            <w:r>
              <w:t>Read current state</w:t>
            </w:r>
          </w:p>
        </w:tc>
      </w:tr>
      <w:tr>
        <w:tc>
          <w:tcPr>
            <w:tcW w:type="dxa" w:w="3312"/>
            <w:vAlign w:val="top"/>
          </w:tcPr>
          <w:p>
            <w:r>
              <w:t>Search</w:t>
            </w:r>
          </w:p>
        </w:tc>
        <w:tc>
          <w:tcPr>
            <w:tcW w:type="dxa" w:w="3312"/>
            <w:vAlign w:val="top"/>
          </w:tcPr>
          <w:p>
            <w:r>
              <w:t>search_policy, search_records</w:t>
            </w:r>
          </w:p>
        </w:tc>
        <w:tc>
          <w:tcPr>
            <w:tcW w:type="dxa" w:w="3312"/>
            <w:vAlign w:val="top"/>
          </w:tcPr>
          <w:p>
            <w:r>
              <w:t>Retrieve targeted evidence</w:t>
            </w:r>
          </w:p>
        </w:tc>
      </w:tr>
      <w:tr>
        <w:tc>
          <w:tcPr>
            <w:tcW w:type="dxa" w:w="3312"/>
            <w:vAlign w:val="top"/>
          </w:tcPr>
          <w:p>
            <w:r>
              <w:t>Analyse</w:t>
            </w:r>
          </w:p>
        </w:tc>
        <w:tc>
          <w:tcPr>
            <w:tcW w:type="dxa" w:w="3312"/>
            <w:vAlign w:val="top"/>
          </w:tcPr>
          <w:p>
            <w:r>
              <w:t>calculate_margin, summarise_encounter</w:t>
            </w:r>
          </w:p>
        </w:tc>
        <w:tc>
          <w:tcPr>
            <w:tcW w:type="dxa" w:w="3312"/>
            <w:vAlign w:val="top"/>
          </w:tcPr>
          <w:p>
            <w:r>
              <w:t>Operate on supplied evidence</w:t>
            </w:r>
          </w:p>
        </w:tc>
      </w:tr>
      <w:tr>
        <w:tc>
          <w:tcPr>
            <w:tcW w:type="dxa" w:w="3312"/>
            <w:vAlign w:val="top"/>
          </w:tcPr>
          <w:p>
            <w:r>
              <w:t>Write</w:t>
            </w:r>
          </w:p>
        </w:tc>
        <w:tc>
          <w:tcPr>
            <w:tcW w:type="dxa" w:w="3312"/>
            <w:vAlign w:val="top"/>
          </w:tcPr>
          <w:p>
            <w:r>
              <w:t>create_note, update_status</w:t>
            </w:r>
          </w:p>
        </w:tc>
        <w:tc>
          <w:tcPr>
            <w:tcW w:type="dxa" w:w="3312"/>
            <w:vAlign w:val="top"/>
          </w:tcPr>
          <w:p>
            <w:r>
              <w:t>Require validation/permission</w:t>
            </w:r>
          </w:p>
        </w:tc>
      </w:tr>
      <w:tr>
        <w:tc>
          <w:tcPr>
            <w:tcW w:type="dxa" w:w="3312"/>
            <w:vAlign w:val="top"/>
          </w:tcPr>
          <w:p>
            <w:r>
              <w:t>Transaction</w:t>
            </w:r>
          </w:p>
        </w:tc>
        <w:tc>
          <w:tcPr>
            <w:tcW w:type="dxa" w:w="3312"/>
            <w:vAlign w:val="top"/>
          </w:tcPr>
          <w:p>
            <w:r>
              <w:t>post_payment, issue_order</w:t>
            </w:r>
          </w:p>
        </w:tc>
        <w:tc>
          <w:tcPr>
            <w:tcW w:type="dxa" w:w="3312"/>
            <w:vAlign w:val="top"/>
          </w:tcPr>
          <w:p>
            <w:r>
              <w:t>Strong confirmation and audit</w:t>
            </w:r>
          </w:p>
        </w:tc>
      </w:tr>
      <w:tr>
        <w:tc>
          <w:tcPr>
            <w:tcW w:type="dxa" w:w="3312"/>
            <w:vAlign w:val="top"/>
          </w:tcPr>
          <w:p>
            <w:r>
              <w:t>Admin</w:t>
            </w:r>
          </w:p>
        </w:tc>
        <w:tc>
          <w:tcPr>
            <w:tcW w:type="dxa" w:w="3312"/>
            <w:vAlign w:val="top"/>
          </w:tcPr>
          <w:p>
            <w:r>
              <w:t>switch_company, manage_config</w:t>
            </w:r>
          </w:p>
        </w:tc>
        <w:tc>
          <w:tcPr>
            <w:tcW w:type="dxa" w:w="3312"/>
            <w:vAlign w:val="top"/>
          </w:tcPr>
          <w:p>
            <w:r>
              <w:t>Restricted role only</w:t>
            </w:r>
          </w:p>
        </w:tc>
      </w:tr>
    </w:tbl>
    <w:p>
      <w:r>
        <w:t>Every consequential tool should return machine-readable status such as success, failure, validation_error, denied, or not_found. The conversational layer must not infer success.</w:t>
      </w:r>
    </w:p>
    <w:p>
      <w:pPr>
        <w:pStyle w:val="Heading1"/>
      </w:pPr>
      <w:r>
        <w:t>10. Retrieval Architecture</w:t>
      </w:r>
    </w:p>
    <w:p>
      <w:r>
        <w:t>Use retrieval according to information type rather than treating RAG as the universal answer mechanism.</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Need</w:t>
            </w:r>
          </w:p>
        </w:tc>
        <w:tc>
          <w:tcPr>
            <w:tcW w:type="dxa" w:w="4968"/>
            <w:shd w:fill="EAF2F8"/>
            <w:vAlign w:val="center"/>
          </w:tcPr>
          <w:p>
            <w:r>
              <w:rPr>
                <w:b/>
              </w:rPr>
              <w:t>Preferred path</w:t>
            </w:r>
          </w:p>
        </w:tc>
      </w:tr>
      <w:tr>
        <w:tc>
          <w:tcPr>
            <w:tcW w:type="dxa" w:w="4968"/>
            <w:vAlign w:val="top"/>
          </w:tcPr>
          <w:p>
            <w:r>
              <w:t>Structured current fact</w:t>
            </w:r>
          </w:p>
        </w:tc>
        <w:tc>
          <w:tcPr>
            <w:tcW w:type="dxa" w:w="4968"/>
            <w:vAlign w:val="top"/>
          </w:tcPr>
          <w:p>
            <w:r>
              <w:t>SQL/API</w:t>
            </w:r>
          </w:p>
        </w:tc>
      </w:tr>
      <w:tr>
        <w:tc>
          <w:tcPr>
            <w:tcW w:type="dxa" w:w="4968"/>
            <w:vAlign w:val="top"/>
          </w:tcPr>
          <w:p>
            <w:r>
              <w:t>Document/policy content</w:t>
            </w:r>
          </w:p>
        </w:tc>
        <w:tc>
          <w:tcPr>
            <w:tcW w:type="dxa" w:w="4968"/>
            <w:vAlign w:val="top"/>
          </w:tcPr>
          <w:p>
            <w:r>
              <w:t>Vector/keyword retrieval + metadata filters</w:t>
            </w:r>
          </w:p>
        </w:tc>
      </w:tr>
      <w:tr>
        <w:tc>
          <w:tcPr>
            <w:tcW w:type="dxa" w:w="4968"/>
            <w:vAlign w:val="top"/>
          </w:tcPr>
          <w:p>
            <w:r>
              <w:t>Mixed answer</w:t>
            </w:r>
          </w:p>
        </w:tc>
        <w:tc>
          <w:tcPr>
            <w:tcW w:type="dxa" w:w="4968"/>
            <w:vAlign w:val="top"/>
          </w:tcPr>
          <w:p>
            <w:r>
              <w:t>Structured fact + targeted document retrieval</w:t>
            </w:r>
          </w:p>
        </w:tc>
      </w:tr>
      <w:tr>
        <w:tc>
          <w:tcPr>
            <w:tcW w:type="dxa" w:w="4968"/>
            <w:vAlign w:val="top"/>
          </w:tcPr>
          <w:p>
            <w:r>
              <w:t>Historical report</w:t>
            </w:r>
          </w:p>
        </w:tc>
        <w:tc>
          <w:tcPr>
            <w:tcW w:type="dxa" w:w="4968"/>
            <w:vAlign w:val="top"/>
          </w:tcPr>
          <w:p>
            <w:r>
              <w:t>Reporting source</w:t>
            </w:r>
          </w:p>
        </w:tc>
      </w:tr>
      <w:tr>
        <w:tc>
          <w:tcPr>
            <w:tcW w:type="dxa" w:w="4968"/>
            <w:vAlign w:val="top"/>
          </w:tcPr>
          <w:p>
            <w:r>
              <w:t>Action</w:t>
            </w:r>
          </w:p>
        </w:tc>
        <w:tc>
          <w:tcPr>
            <w:tcW w:type="dxa" w:w="4968"/>
            <w:vAlign w:val="top"/>
          </w:tcPr>
          <w:p>
            <w:r>
              <w:t>Tool workflow with current-state verification</w:t>
            </w:r>
          </w:p>
        </w:tc>
      </w:tr>
    </w:tbl>
    <w:p>
      <w:pPr>
        <w:pStyle w:val="ListBullet"/>
      </w:pPr>
      <w:r>
        <w:t>Use metadata filters for tenant, client, domain, document type and access scope.</w:t>
      </w:r>
    </w:p>
    <w:p>
      <w:pPr>
        <w:pStyle w:val="ListBullet"/>
      </w:pPr>
      <w:r>
        <w:t>Retrieve only the context required for the question.</w:t>
      </w:r>
    </w:p>
    <w:p>
      <w:pPr>
        <w:pStyle w:val="ListBullet"/>
      </w:pPr>
      <w:r>
        <w:t>Keep source identifiers attached to retrieved evidence.</w:t>
      </w:r>
    </w:p>
    <w:p>
      <w:pPr>
        <w:pStyle w:val="ListBullet"/>
      </w:pPr>
      <w:r>
        <w:t>Treat retrieved text as evidence, not executable instructions.</w:t>
      </w:r>
    </w:p>
    <w:p>
      <w:pPr>
        <w:pStyle w:val="ListBullet"/>
      </w:pPr>
      <w:r>
        <w:t>Preserve document/version information when policy currency matters.</w:t>
      </w:r>
    </w:p>
    <w:p>
      <w:pPr>
        <w:pStyle w:val="Heading1"/>
      </w:pPr>
      <w:r>
        <w:t>11. Prompt Assembly at Runtime</w:t>
      </w:r>
    </w:p>
    <w:p>
      <w:r>
        <w:t>The runtime prompt should be assembled from stable and dynamic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Order</w:t>
            </w:r>
          </w:p>
        </w:tc>
        <w:tc>
          <w:tcPr>
            <w:tcW w:type="dxa" w:w="3312"/>
            <w:shd w:fill="EAF2F8"/>
            <w:vAlign w:val="center"/>
          </w:tcPr>
          <w:p>
            <w:r>
              <w:rPr>
                <w:b/>
              </w:rPr>
              <w:t>Layer</w:t>
            </w:r>
          </w:p>
        </w:tc>
        <w:tc>
          <w:tcPr>
            <w:tcW w:type="dxa" w:w="3312"/>
            <w:shd w:fill="EAF2F8"/>
            <w:vAlign w:val="center"/>
          </w:tcPr>
          <w:p>
            <w:r>
              <w:rPr>
                <w:b/>
              </w:rPr>
              <w:t>Typical lifetime</w:t>
            </w:r>
          </w:p>
        </w:tc>
      </w:tr>
      <w:tr>
        <w:tc>
          <w:tcPr>
            <w:tcW w:type="dxa" w:w="3312"/>
            <w:vAlign w:val="top"/>
          </w:tcPr>
          <w:p>
            <w:r>
              <w:t>1</w:t>
            </w:r>
          </w:p>
        </w:tc>
        <w:tc>
          <w:tcPr>
            <w:tcW w:type="dxa" w:w="3312"/>
            <w:vAlign w:val="top"/>
          </w:tcPr>
          <w:p>
            <w:r>
              <w:t>Universal Core</w:t>
            </w:r>
          </w:p>
        </w:tc>
        <w:tc>
          <w:tcPr>
            <w:tcW w:type="dxa" w:w="3312"/>
            <w:vAlign w:val="top"/>
          </w:tcPr>
          <w:p>
            <w:r>
              <w:t>Long-lived</w:t>
            </w:r>
          </w:p>
        </w:tc>
      </w:tr>
      <w:tr>
        <w:tc>
          <w:tcPr>
            <w:tcW w:type="dxa" w:w="3312"/>
            <w:vAlign w:val="top"/>
          </w:tcPr>
          <w:p>
            <w:r>
              <w:t>2</w:t>
            </w:r>
          </w:p>
        </w:tc>
        <w:tc>
          <w:tcPr>
            <w:tcW w:type="dxa" w:w="3312"/>
            <w:vAlign w:val="top"/>
          </w:tcPr>
          <w:p>
            <w:r>
              <w:t>Domain Pack</w:t>
            </w:r>
          </w:p>
        </w:tc>
        <w:tc>
          <w:tcPr>
            <w:tcW w:type="dxa" w:w="3312"/>
            <w:vAlign w:val="top"/>
          </w:tcPr>
          <w:p>
            <w:r>
              <w:t>Versioned</w:t>
            </w:r>
          </w:p>
        </w:tc>
      </w:tr>
      <w:tr>
        <w:tc>
          <w:tcPr>
            <w:tcW w:type="dxa" w:w="3312"/>
            <w:vAlign w:val="top"/>
          </w:tcPr>
          <w:p>
            <w:r>
              <w:t>3</w:t>
            </w:r>
          </w:p>
        </w:tc>
        <w:tc>
          <w:tcPr>
            <w:tcW w:type="dxa" w:w="3312"/>
            <w:vAlign w:val="top"/>
          </w:tcPr>
          <w:p>
            <w:r>
              <w:t>Client Pack</w:t>
            </w:r>
          </w:p>
        </w:tc>
        <w:tc>
          <w:tcPr>
            <w:tcW w:type="dxa" w:w="3312"/>
            <w:vAlign w:val="top"/>
          </w:tcPr>
          <w:p>
            <w:r>
              <w:t>Versioned</w:t>
            </w:r>
          </w:p>
        </w:tc>
      </w:tr>
      <w:tr>
        <w:tc>
          <w:tcPr>
            <w:tcW w:type="dxa" w:w="3312"/>
            <w:vAlign w:val="top"/>
          </w:tcPr>
          <w:p>
            <w:r>
              <w:t>4</w:t>
            </w:r>
          </w:p>
        </w:tc>
        <w:tc>
          <w:tcPr>
            <w:tcW w:type="dxa" w:w="3312"/>
            <w:vAlign w:val="top"/>
          </w:tcPr>
          <w:p>
            <w:r>
              <w:t>Role Pack</w:t>
            </w:r>
          </w:p>
        </w:tc>
        <w:tc>
          <w:tcPr>
            <w:tcW w:type="dxa" w:w="3312"/>
            <w:vAlign w:val="top"/>
          </w:tcPr>
          <w:p>
            <w:r>
              <w:t>Session/config</w:t>
            </w:r>
          </w:p>
        </w:tc>
      </w:tr>
      <w:tr>
        <w:tc>
          <w:tcPr>
            <w:tcW w:type="dxa" w:w="3312"/>
            <w:vAlign w:val="top"/>
          </w:tcPr>
          <w:p>
            <w:r>
              <w:t>5</w:t>
            </w:r>
          </w:p>
        </w:tc>
        <w:tc>
          <w:tcPr>
            <w:tcW w:type="dxa" w:w="3312"/>
            <w:vAlign w:val="top"/>
          </w:tcPr>
          <w:p>
            <w:r>
              <w:t>Runtime Context</w:t>
            </w:r>
          </w:p>
        </w:tc>
        <w:tc>
          <w:tcPr>
            <w:tcW w:type="dxa" w:w="3312"/>
            <w:vAlign w:val="top"/>
          </w:tcPr>
          <w:p>
            <w:r>
              <w:t>Request/session</w:t>
            </w:r>
          </w:p>
        </w:tc>
      </w:tr>
      <w:tr>
        <w:tc>
          <w:tcPr>
            <w:tcW w:type="dxa" w:w="3312"/>
            <w:vAlign w:val="top"/>
          </w:tcPr>
          <w:p>
            <w:r>
              <w:t>6</w:t>
            </w:r>
          </w:p>
        </w:tc>
        <w:tc>
          <w:tcPr>
            <w:tcW w:type="dxa" w:w="3312"/>
            <w:vAlign w:val="top"/>
          </w:tcPr>
          <w:p>
            <w:r>
              <w:t>Retrieved Evidence</w:t>
            </w:r>
          </w:p>
        </w:tc>
        <w:tc>
          <w:tcPr>
            <w:tcW w:type="dxa" w:w="3312"/>
            <w:vAlign w:val="top"/>
          </w:tcPr>
          <w:p>
            <w:r>
              <w:t>Request-specific</w:t>
            </w:r>
          </w:p>
        </w:tc>
      </w:tr>
      <w:tr>
        <w:tc>
          <w:tcPr>
            <w:tcW w:type="dxa" w:w="3312"/>
            <w:vAlign w:val="top"/>
          </w:tcPr>
          <w:p>
            <w:r>
              <w:t>7</w:t>
            </w:r>
          </w:p>
        </w:tc>
        <w:tc>
          <w:tcPr>
            <w:tcW w:type="dxa" w:w="3312"/>
            <w:vAlign w:val="top"/>
          </w:tcPr>
          <w:p>
            <w:r>
              <w:t>Tool Context</w:t>
            </w:r>
          </w:p>
        </w:tc>
        <w:tc>
          <w:tcPr>
            <w:tcW w:type="dxa" w:w="3312"/>
            <w:vAlign w:val="top"/>
          </w:tcPr>
          <w:p>
            <w:r>
              <w:t>Request-specific</w:t>
            </w:r>
          </w:p>
        </w:tc>
      </w:tr>
    </w:tbl>
    <w:p>
      <w:r>
        <w:t>Do not place large client databases, entire manuals, or every tool definition into the base prompt. Retrieve or load only what is relevant.</w:t>
      </w:r>
    </w:p>
    <w:p>
      <w:pPr>
        <w:pStyle w:val="Heading1"/>
      </w:pPr>
      <w:r>
        <w:t>12. Fast Path vs Deep Path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Path</w:t>
            </w:r>
          </w:p>
        </w:tc>
        <w:tc>
          <w:tcPr>
            <w:tcW w:type="dxa" w:w="3312"/>
            <w:shd w:fill="EAF2F8"/>
            <w:vAlign w:val="center"/>
          </w:tcPr>
          <w:p>
            <w:r>
              <w:rPr>
                <w:b/>
              </w:rPr>
              <w:t>Use when</w:t>
            </w:r>
          </w:p>
        </w:tc>
        <w:tc>
          <w:tcPr>
            <w:tcW w:type="dxa" w:w="3312"/>
            <w:shd w:fill="EAF2F8"/>
            <w:vAlign w:val="center"/>
          </w:tcPr>
          <w:p>
            <w:r>
              <w:rPr>
                <w:b/>
              </w:rPr>
              <w:t>Behaviour</w:t>
            </w:r>
          </w:p>
        </w:tc>
      </w:tr>
      <w:tr>
        <w:tc>
          <w:tcPr>
            <w:tcW w:type="dxa" w:w="3312"/>
            <w:vAlign w:val="top"/>
          </w:tcPr>
          <w:p>
            <w:r>
              <w:t>Fast</w:t>
            </w:r>
          </w:p>
        </w:tc>
        <w:tc>
          <w:tcPr>
            <w:tcW w:type="dxa" w:w="3312"/>
            <w:vAlign w:val="top"/>
          </w:tcPr>
          <w:p>
            <w:r>
              <w:t>Simple, low-risk, well-grounded request</w:t>
            </w:r>
          </w:p>
        </w:tc>
        <w:tc>
          <w:tcPr>
            <w:tcW w:type="dxa" w:w="3312"/>
            <w:vAlign w:val="top"/>
          </w:tcPr>
          <w:p>
            <w:r>
              <w:t>Minimal routing/retrieval/tool calls; concise answer</w:t>
            </w:r>
          </w:p>
        </w:tc>
      </w:tr>
      <w:tr>
        <w:tc>
          <w:tcPr>
            <w:tcW w:type="dxa" w:w="3312"/>
            <w:vAlign w:val="top"/>
          </w:tcPr>
          <w:p>
            <w:r>
              <w:t>Deep</w:t>
            </w:r>
          </w:p>
        </w:tc>
        <w:tc>
          <w:tcPr>
            <w:tcW w:type="dxa" w:w="3312"/>
            <w:vAlign w:val="top"/>
          </w:tcPr>
          <w:p>
            <w:r>
              <w:t>Complex, ambiguous, analytical or consequential request</w:t>
            </w:r>
          </w:p>
        </w:tc>
        <w:tc>
          <w:tcPr>
            <w:tcW w:type="dxa" w:w="3312"/>
            <w:vAlign w:val="top"/>
          </w:tcPr>
          <w:p>
            <w:r>
              <w:t>More evidence checks, validation and structured reasoning</w:t>
            </w:r>
          </w:p>
        </w:tc>
      </w:tr>
    </w:tbl>
    <w:p>
      <w:r>
        <w:t>The distinction is operational, not a different personality. Both paths must preserve the same conversational standard.</w:t>
      </w:r>
    </w:p>
    <w:p>
      <w:pPr>
        <w:pStyle w:val="Heading1"/>
      </w:pPr>
      <w:r>
        <w:t>13. Response Guard</w:t>
      </w:r>
    </w:p>
    <w:p>
      <w:r>
        <w:t>Before returning a response, apply a lightweight validation gate:</w:t>
      </w:r>
    </w:p>
    <w:p>
      <w:pPr>
        <w:pStyle w:val="ListBullet"/>
      </w:pPr>
      <w:r>
        <w:t>Does the answer address the actual request?</w:t>
      </w:r>
    </w:p>
    <w:p>
      <w:pPr>
        <w:pStyle w:val="ListBullet"/>
      </w:pPr>
      <w:r>
        <w:t>Are current claims supported by authorised evidence?</w:t>
      </w:r>
    </w:p>
    <w:p>
      <w:pPr>
        <w:pStyle w:val="ListBullet"/>
      </w:pPr>
      <w:r>
        <w:t>Did missing data remain missing rather than becoming a negative fact?</w:t>
      </w:r>
    </w:p>
    <w:p>
      <w:pPr>
        <w:pStyle w:val="ListBullet"/>
      </w:pPr>
      <w:r>
        <w:t>Does confidence match evidence?</w:t>
      </w:r>
    </w:p>
    <w:p>
      <w:pPr>
        <w:pStyle w:val="ListBullet"/>
      </w:pPr>
      <w:r>
        <w:t>Is the user authorised to receive the information?</w:t>
      </w:r>
    </w:p>
    <w:p>
      <w:pPr>
        <w:pStyle w:val="ListBullet"/>
      </w:pPr>
      <w:r>
        <w:t>Is the active company/tenant correct?</w:t>
      </w:r>
    </w:p>
    <w:p>
      <w:pPr>
        <w:pStyle w:val="ListBullet"/>
      </w:pPr>
      <w:r>
        <w:t>If an action was requested, is completion confirmed by the tool?</w:t>
      </w:r>
    </w:p>
    <w:p>
      <w:pPr>
        <w:pStyle w:val="ListBullet"/>
      </w:pPr>
      <w:r>
        <w:t>Does the response avoid unnecessary internal implementation details?</w:t>
      </w:r>
    </w:p>
    <w:p>
      <w:pPr>
        <w:pStyle w:val="Heading1"/>
      </w:pPr>
      <w:r>
        <w:t>14. Action Safety Pattern</w:t>
      </w:r>
    </w:p>
    <w:p>
      <w:pPr>
        <w:pStyle w:val="IntenseQuote"/>
      </w:pPr>
      <w:r>
        <w:t>Resolve → Verify → Authorise → Execute → Confirm → Record</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Stage</w:t>
            </w:r>
          </w:p>
        </w:tc>
        <w:tc>
          <w:tcPr>
            <w:tcW w:type="dxa" w:w="4968"/>
            <w:shd w:fill="EAF2F8"/>
            <w:vAlign w:val="center"/>
          </w:tcPr>
          <w:p>
            <w:r>
              <w:rPr>
                <w:b/>
              </w:rPr>
              <w:t>Purpose</w:t>
            </w:r>
          </w:p>
        </w:tc>
      </w:tr>
      <w:tr>
        <w:tc>
          <w:tcPr>
            <w:tcW w:type="dxa" w:w="4968"/>
            <w:vAlign w:val="top"/>
          </w:tcPr>
          <w:p>
            <w:r>
              <w:t>Resolve</w:t>
            </w:r>
          </w:p>
        </w:tc>
        <w:tc>
          <w:tcPr>
            <w:tcW w:type="dxa" w:w="4968"/>
            <w:vAlign w:val="top"/>
          </w:tcPr>
          <w:p>
            <w:r>
              <w:t>Identify exact target, record and intended action</w:t>
            </w:r>
          </w:p>
        </w:tc>
      </w:tr>
      <w:tr>
        <w:tc>
          <w:tcPr>
            <w:tcW w:type="dxa" w:w="4968"/>
            <w:vAlign w:val="top"/>
          </w:tcPr>
          <w:p>
            <w:r>
              <w:t>Verify</w:t>
            </w:r>
          </w:p>
        </w:tc>
        <w:tc>
          <w:tcPr>
            <w:tcW w:type="dxa" w:w="4968"/>
            <w:vAlign w:val="top"/>
          </w:tcPr>
          <w:p>
            <w:r>
              <w:t>Check current state and required prerequisites</w:t>
            </w:r>
          </w:p>
        </w:tc>
      </w:tr>
      <w:tr>
        <w:tc>
          <w:tcPr>
            <w:tcW w:type="dxa" w:w="4968"/>
            <w:vAlign w:val="top"/>
          </w:tcPr>
          <w:p>
            <w:r>
              <w:t>Authorise</w:t>
            </w:r>
          </w:p>
        </w:tc>
        <w:tc>
          <w:tcPr>
            <w:tcW w:type="dxa" w:w="4968"/>
            <w:vAlign w:val="top"/>
          </w:tcPr>
          <w:p>
            <w:r>
              <w:t>Confirm user/role/company permission</w:t>
            </w:r>
          </w:p>
        </w:tc>
      </w:tr>
      <w:tr>
        <w:tc>
          <w:tcPr>
            <w:tcW w:type="dxa" w:w="4968"/>
            <w:vAlign w:val="top"/>
          </w:tcPr>
          <w:p>
            <w:r>
              <w:t>Execute</w:t>
            </w:r>
          </w:p>
        </w:tc>
        <w:tc>
          <w:tcPr>
            <w:tcW w:type="dxa" w:w="4968"/>
            <w:vAlign w:val="top"/>
          </w:tcPr>
          <w:p>
            <w:r>
              <w:t>Call the approved tool</w:t>
            </w:r>
          </w:p>
        </w:tc>
      </w:tr>
      <w:tr>
        <w:tc>
          <w:tcPr>
            <w:tcW w:type="dxa" w:w="4968"/>
            <w:vAlign w:val="top"/>
          </w:tcPr>
          <w:p>
            <w:r>
              <w:t>Confirm</w:t>
            </w:r>
          </w:p>
        </w:tc>
        <w:tc>
          <w:tcPr>
            <w:tcW w:type="dxa" w:w="4968"/>
            <w:vAlign w:val="top"/>
          </w:tcPr>
          <w:p>
            <w:r>
              <w:t>Use actual tool result; never infer success</w:t>
            </w:r>
          </w:p>
        </w:tc>
      </w:tr>
      <w:tr>
        <w:tc>
          <w:tcPr>
            <w:tcW w:type="dxa" w:w="4968"/>
            <w:vAlign w:val="top"/>
          </w:tcPr>
          <w:p>
            <w:r>
              <w:t>Record</w:t>
            </w:r>
          </w:p>
        </w:tc>
        <w:tc>
          <w:tcPr>
            <w:tcW w:type="dxa" w:w="4968"/>
            <w:vAlign w:val="top"/>
          </w:tcPr>
          <w:p>
            <w:r>
              <w:t>Audit appropriate action metadata</w:t>
            </w:r>
          </w:p>
        </w:tc>
      </w:tr>
    </w:tbl>
    <w:p>
      <w:pPr>
        <w:pStyle w:val="Heading1"/>
      </w:pPr>
      <w:r>
        <w:t>15. Observability Architecture</w:t>
      </w:r>
    </w:p>
    <w:p>
      <w:r>
        <w:t>Telemetry should support diagnosis without becoming an uncontrolled store of sensitive information.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Signal</w:t>
            </w:r>
          </w:p>
        </w:tc>
        <w:tc>
          <w:tcPr>
            <w:tcW w:type="dxa" w:w="4968"/>
            <w:shd w:fill="EAF2F8"/>
            <w:vAlign w:val="center"/>
          </w:tcPr>
          <w:p>
            <w:r>
              <w:rPr>
                <w:b/>
              </w:rPr>
              <w:t>Why</w:t>
            </w:r>
          </w:p>
        </w:tc>
      </w:tr>
      <w:tr>
        <w:tc>
          <w:tcPr>
            <w:tcW w:type="dxa" w:w="4968"/>
            <w:vAlign w:val="top"/>
          </w:tcPr>
          <w:p>
            <w:r>
              <w:t>request_id</w:t>
            </w:r>
          </w:p>
        </w:tc>
        <w:tc>
          <w:tcPr>
            <w:tcW w:type="dxa" w:w="4968"/>
            <w:vAlign w:val="top"/>
          </w:tcPr>
          <w:p>
            <w:r>
              <w:t>Trace one interaction</w:t>
            </w:r>
          </w:p>
        </w:tc>
      </w:tr>
      <w:tr>
        <w:tc>
          <w:tcPr>
            <w:tcW w:type="dxa" w:w="4968"/>
            <w:vAlign w:val="top"/>
          </w:tcPr>
          <w:p>
            <w:r>
              <w:t>tenant/company</w:t>
            </w:r>
          </w:p>
        </w:tc>
        <w:tc>
          <w:tcPr>
            <w:tcW w:type="dxa" w:w="4968"/>
            <w:vAlign w:val="top"/>
          </w:tcPr>
          <w:p>
            <w:r>
              <w:t>Detect isolation issues</w:t>
            </w:r>
          </w:p>
        </w:tc>
      </w:tr>
      <w:tr>
        <w:tc>
          <w:tcPr>
            <w:tcW w:type="dxa" w:w="4968"/>
            <w:vAlign w:val="top"/>
          </w:tcPr>
          <w:p>
            <w:r>
              <w:t>role</w:t>
            </w:r>
          </w:p>
        </w:tc>
        <w:tc>
          <w:tcPr>
            <w:tcW w:type="dxa" w:w="4968"/>
            <w:vAlign w:val="top"/>
          </w:tcPr>
          <w:p>
            <w:r>
              <w:t>Audit permissions</w:t>
            </w:r>
          </w:p>
        </w:tc>
      </w:tr>
      <w:tr>
        <w:tc>
          <w:tcPr>
            <w:tcW w:type="dxa" w:w="4968"/>
            <w:vAlign w:val="top"/>
          </w:tcPr>
          <w:p>
            <w:r>
              <w:t>config_version</w:t>
            </w:r>
          </w:p>
        </w:tc>
        <w:tc>
          <w:tcPr>
            <w:tcW w:type="dxa" w:w="4968"/>
            <w:vAlign w:val="top"/>
          </w:tcPr>
          <w:p>
            <w:r>
              <w:t>Identify behaviour configuration</w:t>
            </w:r>
          </w:p>
        </w:tc>
      </w:tr>
      <w:tr>
        <w:tc>
          <w:tcPr>
            <w:tcW w:type="dxa" w:w="4968"/>
            <w:vAlign w:val="top"/>
          </w:tcPr>
          <w:p>
            <w:r>
              <w:t>prompt_version</w:t>
            </w:r>
          </w:p>
        </w:tc>
        <w:tc>
          <w:tcPr>
            <w:tcW w:type="dxa" w:w="4968"/>
            <w:vAlign w:val="top"/>
          </w:tcPr>
          <w:p>
            <w:r>
              <w:t>Trace prompt changes</w:t>
            </w:r>
          </w:p>
        </w:tc>
      </w:tr>
      <w:tr>
        <w:tc>
          <w:tcPr>
            <w:tcW w:type="dxa" w:w="4968"/>
            <w:vAlign w:val="top"/>
          </w:tcPr>
          <w:p>
            <w:r>
              <w:t>source_ids</w:t>
            </w:r>
          </w:p>
        </w:tc>
        <w:tc>
          <w:tcPr>
            <w:tcW w:type="dxa" w:w="4968"/>
            <w:vAlign w:val="top"/>
          </w:tcPr>
          <w:p>
            <w:r>
              <w:t>Trace evidence</w:t>
            </w:r>
          </w:p>
        </w:tc>
      </w:tr>
      <w:tr>
        <w:tc>
          <w:tcPr>
            <w:tcW w:type="dxa" w:w="4968"/>
            <w:vAlign w:val="top"/>
          </w:tcPr>
          <w:p>
            <w:r>
              <w:t>tool/status</w:t>
            </w:r>
          </w:p>
        </w:tc>
        <w:tc>
          <w:tcPr>
            <w:tcW w:type="dxa" w:w="4968"/>
            <w:vAlign w:val="top"/>
          </w:tcPr>
          <w:p>
            <w:r>
              <w:t>Trace action integrity</w:t>
            </w:r>
          </w:p>
        </w:tc>
      </w:tr>
      <w:tr>
        <w:tc>
          <w:tcPr>
            <w:tcW w:type="dxa" w:w="4968"/>
            <w:vAlign w:val="top"/>
          </w:tcPr>
          <w:p>
            <w:r>
              <w:t>latency</w:t>
            </w:r>
          </w:p>
        </w:tc>
        <w:tc>
          <w:tcPr>
            <w:tcW w:type="dxa" w:w="4968"/>
            <w:vAlign w:val="top"/>
          </w:tcPr>
          <w:p>
            <w:r>
              <w:t>Operational performance</w:t>
            </w:r>
          </w:p>
        </w:tc>
      </w:tr>
      <w:tr>
        <w:tc>
          <w:tcPr>
            <w:tcW w:type="dxa" w:w="4968"/>
            <w:vAlign w:val="top"/>
          </w:tcPr>
          <w:p>
            <w:r>
              <w:t>evaluation_result</w:t>
            </w:r>
          </w:p>
        </w:tc>
        <w:tc>
          <w:tcPr>
            <w:tcW w:type="dxa" w:w="4968"/>
            <w:vAlign w:val="top"/>
          </w:tcPr>
          <w:p>
            <w:r>
              <w:t>Quality monitoring</w:t>
            </w:r>
          </w:p>
        </w:tc>
      </w:tr>
      <w:tr>
        <w:tc>
          <w:tcPr>
            <w:tcW w:type="dxa" w:w="4968"/>
            <w:vAlign w:val="top"/>
          </w:tcPr>
          <w:p>
            <w:r>
              <w:t>failure_code</w:t>
            </w:r>
          </w:p>
        </w:tc>
        <w:tc>
          <w:tcPr>
            <w:tcW w:type="dxa" w:w="4968"/>
            <w:vAlign w:val="top"/>
          </w:tcPr>
          <w:p>
            <w:r>
              <w:t>Trend recurring defects</w:t>
            </w:r>
          </w:p>
        </w:tc>
      </w:tr>
    </w:tbl>
    <w:p>
      <w:pPr>
        <w:pStyle w:val="Heading1"/>
      </w:pPr>
      <w:r>
        <w:t>16. Versioning Strategy</w:t>
      </w:r>
    </w:p>
    <w:p>
      <w:r>
        <w:t>Treat configuration as a product artifact.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Artifact</w:t>
            </w:r>
          </w:p>
        </w:tc>
        <w:tc>
          <w:tcPr>
            <w:tcW w:type="dxa" w:w="3312"/>
            <w:shd w:fill="EAF2F8"/>
            <w:vAlign w:val="center"/>
          </w:tcPr>
          <w:p>
            <w:r>
              <w:rPr>
                <w:b/>
              </w:rPr>
              <w:t>Version independently?</w:t>
            </w:r>
          </w:p>
        </w:tc>
        <w:tc>
          <w:tcPr>
            <w:tcW w:type="dxa" w:w="3312"/>
            <w:shd w:fill="EAF2F8"/>
            <w:vAlign w:val="center"/>
          </w:tcPr>
          <w:p>
            <w:r>
              <w:rPr>
                <w:b/>
              </w:rPr>
              <w:t>Example</w:t>
            </w:r>
          </w:p>
        </w:tc>
      </w:tr>
      <w:tr>
        <w:tc>
          <w:tcPr>
            <w:tcW w:type="dxa" w:w="3312"/>
            <w:vAlign w:val="top"/>
          </w:tcPr>
          <w:p>
            <w:r>
              <w:t>Core prompt</w:t>
            </w:r>
          </w:p>
        </w:tc>
        <w:tc>
          <w:tcPr>
            <w:tcW w:type="dxa" w:w="3312"/>
            <w:vAlign w:val="top"/>
          </w:tcPr>
          <w:p>
            <w:r>
              <w:t>Yes</w:t>
            </w:r>
          </w:p>
        </w:tc>
        <w:tc>
          <w:tcPr>
            <w:tcW w:type="dxa" w:w="3312"/>
            <w:vAlign w:val="top"/>
          </w:tcPr>
          <w:p>
            <w:r>
              <w:t>core-1.3</w:t>
            </w:r>
          </w:p>
        </w:tc>
      </w:tr>
      <w:tr>
        <w:tc>
          <w:tcPr>
            <w:tcW w:type="dxa" w:w="3312"/>
            <w:vAlign w:val="top"/>
          </w:tcPr>
          <w:p>
            <w:r>
              <w:t>Domain pack</w:t>
            </w:r>
          </w:p>
        </w:tc>
        <w:tc>
          <w:tcPr>
            <w:tcW w:type="dxa" w:w="3312"/>
            <w:vAlign w:val="top"/>
          </w:tcPr>
          <w:p>
            <w:r>
              <w:t>Yes</w:t>
            </w:r>
          </w:p>
        </w:tc>
        <w:tc>
          <w:tcPr>
            <w:tcW w:type="dxa" w:w="3312"/>
            <w:vAlign w:val="top"/>
          </w:tcPr>
          <w:p>
            <w:r>
              <w:t>health-1.1</w:t>
            </w:r>
          </w:p>
        </w:tc>
      </w:tr>
      <w:tr>
        <w:tc>
          <w:tcPr>
            <w:tcW w:type="dxa" w:w="3312"/>
            <w:vAlign w:val="top"/>
          </w:tcPr>
          <w:p>
            <w:r>
              <w:t>Client pack</w:t>
            </w:r>
          </w:p>
        </w:tc>
        <w:tc>
          <w:tcPr>
            <w:tcW w:type="dxa" w:w="3312"/>
            <w:vAlign w:val="top"/>
          </w:tcPr>
          <w:p>
            <w:r>
              <w:t>Yes</w:t>
            </w:r>
          </w:p>
        </w:tc>
        <w:tc>
          <w:tcPr>
            <w:tcW w:type="dxa" w:w="3312"/>
            <w:vAlign w:val="top"/>
          </w:tcPr>
          <w:p>
            <w:r>
              <w:t>placeware-1.4</w:t>
            </w:r>
          </w:p>
        </w:tc>
      </w:tr>
      <w:tr>
        <w:tc>
          <w:tcPr>
            <w:tcW w:type="dxa" w:w="3312"/>
            <w:vAlign w:val="top"/>
          </w:tcPr>
          <w:p>
            <w:r>
              <w:t>Tool contract</w:t>
            </w:r>
          </w:p>
        </w:tc>
        <w:tc>
          <w:tcPr>
            <w:tcW w:type="dxa" w:w="3312"/>
            <w:vAlign w:val="top"/>
          </w:tcPr>
          <w:p>
            <w:r>
              <w:t>Yes</w:t>
            </w:r>
          </w:p>
        </w:tc>
        <w:tc>
          <w:tcPr>
            <w:tcW w:type="dxa" w:w="3312"/>
            <w:vAlign w:val="top"/>
          </w:tcPr>
          <w:p>
            <w:r>
              <w:t>sage-stock-2.0</w:t>
            </w:r>
          </w:p>
        </w:tc>
      </w:tr>
      <w:tr>
        <w:tc>
          <w:tcPr>
            <w:tcW w:type="dxa" w:w="3312"/>
            <w:vAlign w:val="top"/>
          </w:tcPr>
          <w:p>
            <w:r>
              <w:t>Retriever config</w:t>
            </w:r>
          </w:p>
        </w:tc>
        <w:tc>
          <w:tcPr>
            <w:tcW w:type="dxa" w:w="3312"/>
            <w:vAlign w:val="top"/>
          </w:tcPr>
          <w:p>
            <w:r>
              <w:t>Yes</w:t>
            </w:r>
          </w:p>
        </w:tc>
        <w:tc>
          <w:tcPr>
            <w:tcW w:type="dxa" w:w="3312"/>
            <w:vAlign w:val="top"/>
          </w:tcPr>
          <w:p>
            <w:r>
              <w:t>health-rag-1.2</w:t>
            </w:r>
          </w:p>
        </w:tc>
      </w:tr>
      <w:tr>
        <w:tc>
          <w:tcPr>
            <w:tcW w:type="dxa" w:w="3312"/>
            <w:vAlign w:val="top"/>
          </w:tcPr>
          <w:p>
            <w:r>
              <w:t>Evaluation set</w:t>
            </w:r>
          </w:p>
        </w:tc>
        <w:tc>
          <w:tcPr>
            <w:tcW w:type="dxa" w:w="3312"/>
            <w:vAlign w:val="top"/>
          </w:tcPr>
          <w:p>
            <w:r>
              <w:t>Yes</w:t>
            </w:r>
          </w:p>
        </w:tc>
        <w:tc>
          <w:tcPr>
            <w:tcW w:type="dxa" w:w="3312"/>
            <w:vAlign w:val="top"/>
          </w:tcPr>
          <w:p>
            <w:r>
              <w:t>health-eval-1.5</w:t>
            </w:r>
          </w:p>
        </w:tc>
      </w:tr>
    </w:tbl>
    <w:p>
      <w:r>
        <w:t>A production interaction should be traceable to the versions that produced it.</w:t>
      </w:r>
    </w:p>
    <w:p>
      <w:pPr>
        <w:pStyle w:val="Heading1"/>
      </w:pPr>
      <w:r>
        <w:t>17. Environment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Environment</w:t>
            </w:r>
          </w:p>
        </w:tc>
        <w:tc>
          <w:tcPr>
            <w:tcW w:type="dxa" w:w="3312"/>
            <w:shd w:fill="EAF2F8"/>
            <w:vAlign w:val="center"/>
          </w:tcPr>
          <w:p>
            <w:r>
              <w:rPr>
                <w:b/>
              </w:rPr>
              <w:t>Purpose</w:t>
            </w:r>
          </w:p>
        </w:tc>
        <w:tc>
          <w:tcPr>
            <w:tcW w:type="dxa" w:w="3312"/>
            <w:shd w:fill="EAF2F8"/>
            <w:vAlign w:val="center"/>
          </w:tcPr>
          <w:p>
            <w:r>
              <w:rPr>
                <w:b/>
              </w:rPr>
              <w:t>Controls</w:t>
            </w:r>
          </w:p>
        </w:tc>
      </w:tr>
      <w:tr>
        <w:tc>
          <w:tcPr>
            <w:tcW w:type="dxa" w:w="3312"/>
            <w:vAlign w:val="top"/>
          </w:tcPr>
          <w:p>
            <w:r>
              <w:t>Development</w:t>
            </w:r>
          </w:p>
        </w:tc>
        <w:tc>
          <w:tcPr>
            <w:tcW w:type="dxa" w:w="3312"/>
            <w:vAlign w:val="top"/>
          </w:tcPr>
          <w:p>
            <w:r>
              <w:t>Build and experiment</w:t>
            </w:r>
          </w:p>
        </w:tc>
        <w:tc>
          <w:tcPr>
            <w:tcW w:type="dxa" w:w="3312"/>
            <w:vAlign w:val="top"/>
          </w:tcPr>
          <w:p>
            <w:r>
              <w:t>Synthetic/test data preferred</w:t>
            </w:r>
          </w:p>
        </w:tc>
      </w:tr>
      <w:tr>
        <w:tc>
          <w:tcPr>
            <w:tcW w:type="dxa" w:w="3312"/>
            <w:vAlign w:val="top"/>
          </w:tcPr>
          <w:p>
            <w:r>
              <w:t>Staging</w:t>
            </w:r>
          </w:p>
        </w:tc>
        <w:tc>
          <w:tcPr>
            <w:tcW w:type="dxa" w:w="3312"/>
            <w:vAlign w:val="top"/>
          </w:tcPr>
          <w:p>
            <w:r>
              <w:t>Integration and acceptance</w:t>
            </w:r>
          </w:p>
        </w:tc>
        <w:tc>
          <w:tcPr>
            <w:tcW w:type="dxa" w:w="3312"/>
            <w:vAlign w:val="top"/>
          </w:tcPr>
          <w:p>
            <w:r>
              <w:t>Production-like configuration</w:t>
            </w:r>
          </w:p>
        </w:tc>
      </w:tr>
      <w:tr>
        <w:tc>
          <w:tcPr>
            <w:tcW w:type="dxa" w:w="3312"/>
            <w:vAlign w:val="top"/>
          </w:tcPr>
          <w:p>
            <w:r>
              <w:t>Production</w:t>
            </w:r>
          </w:p>
        </w:tc>
        <w:tc>
          <w:tcPr>
            <w:tcW w:type="dxa" w:w="3312"/>
            <w:vAlign w:val="top"/>
          </w:tcPr>
          <w:p>
            <w:r>
              <w:t>Live client operation</w:t>
            </w:r>
          </w:p>
        </w:tc>
        <w:tc>
          <w:tcPr>
            <w:tcW w:type="dxa" w:w="3312"/>
            <w:vAlign w:val="top"/>
          </w:tcPr>
          <w:p>
            <w:r>
              <w:t>Restricted deployments and auditability</w:t>
            </w:r>
          </w:p>
        </w:tc>
      </w:tr>
    </w:tbl>
    <w:p>
      <w:pPr>
        <w:pStyle w:val="ListBullet"/>
      </w:pPr>
      <w:r>
        <w:t>Never use production credentials in development.</w:t>
      </w:r>
    </w:p>
    <w:p>
      <w:pPr>
        <w:pStyle w:val="ListBullet"/>
      </w:pPr>
      <w:r>
        <w:t>Keep test and production tenant boundaries separate.</w:t>
      </w:r>
    </w:p>
    <w:p>
      <w:pPr>
        <w:pStyle w:val="ListBullet"/>
      </w:pPr>
      <w:r>
        <w:t>Promote versioned configuration rather than manually editing production prompts.</w:t>
      </w:r>
    </w:p>
    <w:p>
      <w:pPr>
        <w:pStyle w:val="ListBullet"/>
      </w:pPr>
      <w:r>
        <w:t>Maintain rollback capability for core, client and tool configuration.</w:t>
      </w:r>
    </w:p>
    <w:p>
      <w:pPr>
        <w:pStyle w:val="Heading1"/>
      </w:pPr>
      <w:r>
        <w:t>18. Deployment Pattern</w:t>
      </w:r>
    </w:p>
    <w:p>
      <w:r>
        <w:t>A practical deployment sequence:</w:t>
      </w:r>
    </w:p>
    <w:p>
      <w:pPr>
        <w:pStyle w:val="ListNumber"/>
      </w:pPr>
      <w:r>
        <w:t>Build or modify configuration.</w:t>
      </w:r>
    </w:p>
    <w:p>
      <w:pPr>
        <w:pStyle w:val="ListNumber"/>
      </w:pPr>
      <w:r>
        <w:t>Run component tests.</w:t>
      </w:r>
    </w:p>
    <w:p>
      <w:pPr>
        <w:pStyle w:val="ListNumber"/>
      </w:pPr>
      <w:r>
        <w:t>Run affected domain/client golden tests.</w:t>
      </w:r>
    </w:p>
    <w:p>
      <w:pPr>
        <w:pStyle w:val="ListNumber"/>
      </w:pPr>
      <w:r>
        <w:t>Run universal regression tests.</w:t>
      </w:r>
    </w:p>
    <w:p>
      <w:pPr>
        <w:pStyle w:val="ListNumber"/>
      </w:pPr>
      <w:r>
        <w:t>Run permission and tenant-isolation tests.</w:t>
      </w:r>
    </w:p>
    <w:p>
      <w:pPr>
        <w:pStyle w:val="ListNumber"/>
      </w:pPr>
      <w:r>
        <w:t>Validate tool contracts.</w:t>
      </w:r>
    </w:p>
    <w:p>
      <w:pPr>
        <w:pStyle w:val="ListNumber"/>
      </w:pPr>
      <w:r>
        <w:t>Deploy to staging.</w:t>
      </w:r>
    </w:p>
    <w:p>
      <w:pPr>
        <w:pStyle w:val="ListNumber"/>
      </w:pPr>
      <w:r>
        <w:t>Run client acceptance tests.</w:t>
      </w:r>
    </w:p>
    <w:p>
      <w:pPr>
        <w:pStyle w:val="ListNumber"/>
      </w:pPr>
      <w:r>
        <w:t>Promote the exact tested version to production.</w:t>
      </w:r>
    </w:p>
    <w:p>
      <w:pPr>
        <w:pStyle w:val="ListNumber"/>
      </w:pPr>
      <w:r>
        <w:t>Monitor post-release signals.</w:t>
      </w:r>
    </w:p>
    <w:p>
      <w:pPr>
        <w:pStyle w:val="Heading1"/>
      </w:pPr>
      <w:r>
        <w:t>19. Client Onboarding Workflow</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Phase</w:t>
            </w:r>
          </w:p>
        </w:tc>
        <w:tc>
          <w:tcPr>
            <w:tcW w:type="dxa" w:w="4968"/>
            <w:shd w:fill="EAF2F8"/>
            <w:vAlign w:val="center"/>
          </w:tcPr>
          <w:p>
            <w:r>
              <w:rPr>
                <w:b/>
              </w:rPr>
              <w:t>Output</w:t>
            </w:r>
          </w:p>
        </w:tc>
      </w:tr>
      <w:tr>
        <w:tc>
          <w:tcPr>
            <w:tcW w:type="dxa" w:w="4968"/>
            <w:vAlign w:val="top"/>
          </w:tcPr>
          <w:p>
            <w:r>
              <w:t>1. Discovery</w:t>
            </w:r>
          </w:p>
        </w:tc>
        <w:tc>
          <w:tcPr>
            <w:tcW w:type="dxa" w:w="4968"/>
            <w:vAlign w:val="top"/>
          </w:tcPr>
          <w:p>
            <w:r>
              <w:t>Systems, users, workflows, data sources</w:t>
            </w:r>
          </w:p>
        </w:tc>
      </w:tr>
      <w:tr>
        <w:tc>
          <w:tcPr>
            <w:tcW w:type="dxa" w:w="4968"/>
            <w:vAlign w:val="top"/>
          </w:tcPr>
          <w:p>
            <w:r>
              <w:t>2. Mapping</w:t>
            </w:r>
          </w:p>
        </w:tc>
        <w:tc>
          <w:tcPr>
            <w:tcW w:type="dxa" w:w="4968"/>
            <w:vAlign w:val="top"/>
          </w:tcPr>
          <w:p>
            <w:r>
              <w:t>Source-of-truth registry and data relationships</w:t>
            </w:r>
          </w:p>
        </w:tc>
      </w:tr>
      <w:tr>
        <w:tc>
          <w:tcPr>
            <w:tcW w:type="dxa" w:w="4968"/>
            <w:vAlign w:val="top"/>
          </w:tcPr>
          <w:p>
            <w:r>
              <w:t>3. Domain configuration</w:t>
            </w:r>
          </w:p>
        </w:tc>
        <w:tc>
          <w:tcPr>
            <w:tcW w:type="dxa" w:w="4968"/>
            <w:vAlign w:val="top"/>
          </w:tcPr>
          <w:p>
            <w:r>
              <w:t>Domain pack</w:t>
            </w:r>
          </w:p>
        </w:tc>
      </w:tr>
      <w:tr>
        <w:tc>
          <w:tcPr>
            <w:tcW w:type="dxa" w:w="4968"/>
            <w:vAlign w:val="top"/>
          </w:tcPr>
          <w:p>
            <w:r>
              <w:t>4. Client configuration</w:t>
            </w:r>
          </w:p>
        </w:tc>
        <w:tc>
          <w:tcPr>
            <w:tcW w:type="dxa" w:w="4968"/>
            <w:vAlign w:val="top"/>
          </w:tcPr>
          <w:p>
            <w:r>
              <w:t>Client pack</w:t>
            </w:r>
          </w:p>
        </w:tc>
      </w:tr>
      <w:tr>
        <w:tc>
          <w:tcPr>
            <w:tcW w:type="dxa" w:w="4968"/>
            <w:vAlign w:val="top"/>
          </w:tcPr>
          <w:p>
            <w:r>
              <w:t>5. Role design</w:t>
            </w:r>
          </w:p>
        </w:tc>
        <w:tc>
          <w:tcPr>
            <w:tcW w:type="dxa" w:w="4968"/>
            <w:vAlign w:val="top"/>
          </w:tcPr>
          <w:p>
            <w:r>
              <w:t>Role/permission packs</w:t>
            </w:r>
          </w:p>
        </w:tc>
      </w:tr>
      <w:tr>
        <w:tc>
          <w:tcPr>
            <w:tcW w:type="dxa" w:w="4968"/>
            <w:vAlign w:val="top"/>
          </w:tcPr>
          <w:p>
            <w:r>
              <w:t>6. Tool integration</w:t>
            </w:r>
          </w:p>
        </w:tc>
        <w:tc>
          <w:tcPr>
            <w:tcW w:type="dxa" w:w="4968"/>
            <w:vAlign w:val="top"/>
          </w:tcPr>
          <w:p>
            <w:r>
              <w:t>Tool registry and contracts</w:t>
            </w:r>
          </w:p>
        </w:tc>
      </w:tr>
      <w:tr>
        <w:tc>
          <w:tcPr>
            <w:tcW w:type="dxa" w:w="4968"/>
            <w:vAlign w:val="top"/>
          </w:tcPr>
          <w:p>
            <w:r>
              <w:t>7. Evaluation</w:t>
            </w:r>
          </w:p>
        </w:tc>
        <w:tc>
          <w:tcPr>
            <w:tcW w:type="dxa" w:w="4968"/>
            <w:vAlign w:val="top"/>
          </w:tcPr>
          <w:p>
            <w:r>
              <w:t>Golden and adversarial test pack</w:t>
            </w:r>
          </w:p>
        </w:tc>
      </w:tr>
      <w:tr>
        <w:tc>
          <w:tcPr>
            <w:tcW w:type="dxa" w:w="4968"/>
            <w:vAlign w:val="top"/>
          </w:tcPr>
          <w:p>
            <w:r>
              <w:t>8. Acceptance</w:t>
            </w:r>
          </w:p>
        </w:tc>
        <w:tc>
          <w:tcPr>
            <w:tcW w:type="dxa" w:w="4968"/>
            <w:vAlign w:val="top"/>
          </w:tcPr>
          <w:p>
            <w:r>
              <w:t>Client sign-off</w:t>
            </w:r>
          </w:p>
        </w:tc>
      </w:tr>
      <w:tr>
        <w:tc>
          <w:tcPr>
            <w:tcW w:type="dxa" w:w="4968"/>
            <w:vAlign w:val="top"/>
          </w:tcPr>
          <w:p>
            <w:r>
              <w:t>9. Deployment</w:t>
            </w:r>
          </w:p>
        </w:tc>
        <w:tc>
          <w:tcPr>
            <w:tcW w:type="dxa" w:w="4968"/>
            <w:vAlign w:val="top"/>
          </w:tcPr>
          <w:p>
            <w:r>
              <w:t>Versioned production release</w:t>
            </w:r>
          </w:p>
        </w:tc>
      </w:tr>
      <w:tr>
        <w:tc>
          <w:tcPr>
            <w:tcW w:type="dxa" w:w="4968"/>
            <w:vAlign w:val="top"/>
          </w:tcPr>
          <w:p>
            <w:r>
              <w:t>10. Improvement</w:t>
            </w:r>
          </w:p>
        </w:tc>
        <w:tc>
          <w:tcPr>
            <w:tcW w:type="dxa" w:w="4968"/>
            <w:vAlign w:val="top"/>
          </w:tcPr>
          <w:p>
            <w:r>
              <w:t>Feedback and regression loop</w:t>
            </w:r>
          </w:p>
        </w:tc>
      </w:tr>
    </w:tbl>
    <w:p>
      <w:pPr>
        <w:pStyle w:val="Heading1"/>
      </w:pPr>
      <w:r>
        <w:t>20. Example: Synbot Health</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Layer</w:t>
            </w:r>
          </w:p>
        </w:tc>
        <w:tc>
          <w:tcPr>
            <w:tcW w:type="dxa" w:w="4968"/>
            <w:shd w:fill="EAF2F8"/>
            <w:vAlign w:val="center"/>
          </w:tcPr>
          <w:p>
            <w:r>
              <w:rPr>
                <w:b/>
              </w:rPr>
              <w:t>Example</w:t>
            </w:r>
          </w:p>
        </w:tc>
      </w:tr>
      <w:tr>
        <w:tc>
          <w:tcPr>
            <w:tcW w:type="dxa" w:w="4968"/>
            <w:vAlign w:val="top"/>
          </w:tcPr>
          <w:p>
            <w:r>
              <w:t>Domain</w:t>
            </w:r>
          </w:p>
        </w:tc>
        <w:tc>
          <w:tcPr>
            <w:tcW w:type="dxa" w:w="4968"/>
            <w:vAlign w:val="top"/>
          </w:tcPr>
          <w:p>
            <w:r>
              <w:t>Healthcare</w:t>
            </w:r>
          </w:p>
        </w:tc>
      </w:tr>
      <w:tr>
        <w:tc>
          <w:tcPr>
            <w:tcW w:type="dxa" w:w="4968"/>
            <w:vAlign w:val="top"/>
          </w:tcPr>
          <w:p>
            <w:r>
              <w:t>Client</w:t>
            </w:r>
          </w:p>
        </w:tc>
        <w:tc>
          <w:tcPr>
            <w:tcW w:type="dxa" w:w="4968"/>
            <w:vAlign w:val="top"/>
          </w:tcPr>
          <w:p>
            <w:r>
              <w:t>Royan Hospital</w:t>
            </w:r>
          </w:p>
        </w:tc>
      </w:tr>
      <w:tr>
        <w:tc>
          <w:tcPr>
            <w:tcW w:type="dxa" w:w="4968"/>
            <w:vAlign w:val="top"/>
          </w:tcPr>
          <w:p>
            <w:r>
              <w:t>Source</w:t>
            </w:r>
          </w:p>
        </w:tc>
        <w:tc>
          <w:tcPr>
            <w:tcW w:type="dxa" w:w="4968"/>
            <w:vAlign w:val="top"/>
          </w:tcPr>
          <w:p>
            <w:r>
              <w:t>Synbot clinical PostgreSQL</w:t>
            </w:r>
          </w:p>
        </w:tc>
      </w:tr>
      <w:tr>
        <w:tc>
          <w:tcPr>
            <w:tcW w:type="dxa" w:w="4968"/>
            <w:vAlign w:val="top"/>
          </w:tcPr>
          <w:p>
            <w:r>
              <w:t>Document source</w:t>
            </w:r>
          </w:p>
        </w:tc>
        <w:tc>
          <w:tcPr>
            <w:tcW w:type="dxa" w:w="4968"/>
            <w:vAlign w:val="top"/>
          </w:tcPr>
          <w:p>
            <w:r>
              <w:t>Approved clinical/admin procedures</w:t>
            </w:r>
          </w:p>
        </w:tc>
      </w:tr>
      <w:tr>
        <w:tc>
          <w:tcPr>
            <w:tcW w:type="dxa" w:w="4968"/>
            <w:vAlign w:val="top"/>
          </w:tcPr>
          <w:p>
            <w:r>
              <w:t>Roles</w:t>
            </w:r>
          </w:p>
        </w:tc>
        <w:tc>
          <w:tcPr>
            <w:tcW w:type="dxa" w:w="4968"/>
            <w:vAlign w:val="top"/>
          </w:tcPr>
          <w:p>
            <w:r>
              <w:t>Clinician, nurse, pharmacist, admin</w:t>
            </w:r>
          </w:p>
        </w:tc>
      </w:tr>
      <w:tr>
        <w:tc>
          <w:tcPr>
            <w:tcW w:type="dxa" w:w="4968"/>
            <w:vAlign w:val="top"/>
          </w:tcPr>
          <w:p>
            <w:r>
              <w:t>Tools</w:t>
            </w:r>
          </w:p>
        </w:tc>
        <w:tc>
          <w:tcPr>
            <w:tcW w:type="dxa" w:w="4968"/>
            <w:vAlign w:val="top"/>
          </w:tcPr>
          <w:p>
            <w:r>
              <w:t>Patient lookup, encounter lookup, prescription workflow</w:t>
            </w:r>
          </w:p>
        </w:tc>
      </w:tr>
      <w:tr>
        <w:tc>
          <w:tcPr>
            <w:tcW w:type="dxa" w:w="4968"/>
            <w:vAlign w:val="top"/>
          </w:tcPr>
          <w:p>
            <w:r>
              <w:t>Critical controls</w:t>
            </w:r>
          </w:p>
        </w:tc>
        <w:tc>
          <w:tcPr>
            <w:tcW w:type="dxa" w:w="4968"/>
            <w:vAlign w:val="top"/>
          </w:tcPr>
          <w:p>
            <w:r>
              <w:t>Patient identity, permissions, clinical scope, auditability</w:t>
            </w:r>
          </w:p>
        </w:tc>
      </w:tr>
      <w:tr>
        <w:tc>
          <w:tcPr>
            <w:tcW w:type="dxa" w:w="4968"/>
            <w:vAlign w:val="top"/>
          </w:tcPr>
          <w:p>
            <w:r>
              <w:t>Evaluation</w:t>
            </w:r>
          </w:p>
        </w:tc>
        <w:tc>
          <w:tcPr>
            <w:tcW w:type="dxa" w:w="4968"/>
            <w:vAlign w:val="top"/>
          </w:tcPr>
          <w:p>
            <w:r>
              <w:t>Missing doctor, prescription status, encounter continuity, permission tests</w:t>
            </w:r>
          </w:p>
        </w:tc>
      </w:tr>
    </w:tbl>
    <w:p>
      <w:pPr>
        <w:pStyle w:val="Heading1"/>
      </w:pPr>
      <w:r>
        <w:t>21. Example: Placeware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Layer</w:t>
            </w:r>
          </w:p>
        </w:tc>
        <w:tc>
          <w:tcPr>
            <w:tcW w:type="dxa" w:w="4968"/>
            <w:shd w:fill="EAF2F8"/>
            <w:vAlign w:val="center"/>
          </w:tcPr>
          <w:p>
            <w:r>
              <w:rPr>
                <w:b/>
              </w:rPr>
              <w:t>Example</w:t>
            </w:r>
          </w:p>
        </w:tc>
      </w:tr>
      <w:tr>
        <w:tc>
          <w:tcPr>
            <w:tcW w:type="dxa" w:w="4968"/>
            <w:vAlign w:val="top"/>
          </w:tcPr>
          <w:p>
            <w:r>
              <w:t>Domain</w:t>
            </w:r>
          </w:p>
        </w:tc>
        <w:tc>
          <w:tcPr>
            <w:tcW w:type="dxa" w:w="4968"/>
            <w:vAlign w:val="top"/>
          </w:tcPr>
          <w:p>
            <w:r>
              <w:t>Distribution / Finance / Inventory</w:t>
            </w:r>
          </w:p>
        </w:tc>
      </w:tr>
      <w:tr>
        <w:tc>
          <w:tcPr>
            <w:tcW w:type="dxa" w:w="4968"/>
            <w:vAlign w:val="top"/>
          </w:tcPr>
          <w:p>
            <w:r>
              <w:t>Client</w:t>
            </w:r>
          </w:p>
        </w:tc>
        <w:tc>
          <w:tcPr>
            <w:tcW w:type="dxa" w:w="4968"/>
            <w:vAlign w:val="top"/>
          </w:tcPr>
          <w:p>
            <w:r>
              <w:t>Placeware Nigeria Limited</w:t>
            </w:r>
          </w:p>
        </w:tc>
      </w:tr>
      <w:tr>
        <w:tc>
          <w:tcPr>
            <w:tcW w:type="dxa" w:w="4968"/>
            <w:vAlign w:val="top"/>
          </w:tcPr>
          <w:p>
            <w:r>
              <w:t>Primary operational source</w:t>
            </w:r>
          </w:p>
        </w:tc>
        <w:tc>
          <w:tcPr>
            <w:tcW w:type="dxa" w:w="4968"/>
            <w:vAlign w:val="top"/>
          </w:tcPr>
          <w:p>
            <w:r>
              <w:t>Sage 50 / authorised integration layer</w:t>
            </w:r>
          </w:p>
        </w:tc>
      </w:tr>
      <w:tr>
        <w:tc>
          <w:tcPr>
            <w:tcW w:type="dxa" w:w="4968"/>
            <w:vAlign w:val="top"/>
          </w:tcPr>
          <w:p>
            <w:r>
              <w:t>Knowledge source</w:t>
            </w:r>
          </w:p>
        </w:tc>
        <w:tc>
          <w:tcPr>
            <w:tcW w:type="dxa" w:w="4968"/>
            <w:vAlign w:val="top"/>
          </w:tcPr>
          <w:p>
            <w:r>
              <w:t>Approved operating documents</w:t>
            </w:r>
          </w:p>
        </w:tc>
      </w:tr>
      <w:tr>
        <w:tc>
          <w:tcPr>
            <w:tcW w:type="dxa" w:w="4968"/>
            <w:vAlign w:val="top"/>
          </w:tcPr>
          <w:p>
            <w:r>
              <w:t>Roles</w:t>
            </w:r>
          </w:p>
        </w:tc>
        <w:tc>
          <w:tcPr>
            <w:tcW w:type="dxa" w:w="4968"/>
            <w:vAlign w:val="top"/>
          </w:tcPr>
          <w:p>
            <w:r>
              <w:t>Management, finance, sales, inventory</w:t>
            </w:r>
          </w:p>
        </w:tc>
      </w:tr>
      <w:tr>
        <w:tc>
          <w:tcPr>
            <w:tcW w:type="dxa" w:w="4968"/>
            <w:vAlign w:val="top"/>
          </w:tcPr>
          <w:p>
            <w:r>
              <w:t>Tools</w:t>
            </w:r>
          </w:p>
        </w:tc>
        <w:tc>
          <w:tcPr>
            <w:tcW w:type="dxa" w:w="4968"/>
            <w:vAlign w:val="top"/>
          </w:tcPr>
          <w:p>
            <w:r>
              <w:t>Stock lookup, order/registration workflows, reporting</w:t>
            </w:r>
          </w:p>
        </w:tc>
      </w:tr>
      <w:tr>
        <w:tc>
          <w:tcPr>
            <w:tcW w:type="dxa" w:w="4968"/>
            <w:vAlign w:val="top"/>
          </w:tcPr>
          <w:p>
            <w:r>
              <w:t>Critical controls</w:t>
            </w:r>
          </w:p>
        </w:tc>
        <w:tc>
          <w:tcPr>
            <w:tcW w:type="dxa" w:w="4968"/>
            <w:vAlign w:val="top"/>
          </w:tcPr>
          <w:p>
            <w:r>
              <w:t>Current stock, transaction integrity, report/source distinction</w:t>
            </w:r>
          </w:p>
        </w:tc>
      </w:tr>
      <w:tr>
        <w:tc>
          <w:tcPr>
            <w:tcW w:type="dxa" w:w="4968"/>
            <w:vAlign w:val="top"/>
          </w:tcPr>
          <w:p>
            <w:r>
              <w:t>Evaluation</w:t>
            </w:r>
          </w:p>
        </w:tc>
        <w:tc>
          <w:tcPr>
            <w:tcW w:type="dxa" w:w="4968"/>
            <w:vAlign w:val="top"/>
          </w:tcPr>
          <w:p>
            <w:r>
              <w:t>Stock adjustment, returns, batch tracking, GL/AR/AP and missing report cases</w:t>
            </w:r>
          </w:p>
        </w:tc>
      </w:tr>
    </w:tbl>
    <w:p>
      <w:pPr>
        <w:pStyle w:val="Heading1"/>
      </w:pPr>
      <w:r>
        <w:t>22. Example: Atiat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Layer</w:t>
            </w:r>
          </w:p>
        </w:tc>
        <w:tc>
          <w:tcPr>
            <w:tcW w:type="dxa" w:w="4968"/>
            <w:shd w:fill="EAF2F8"/>
            <w:vAlign w:val="center"/>
          </w:tcPr>
          <w:p>
            <w:r>
              <w:rPr>
                <w:b/>
              </w:rPr>
              <w:t>Example</w:t>
            </w:r>
          </w:p>
        </w:tc>
      </w:tr>
      <w:tr>
        <w:tc>
          <w:tcPr>
            <w:tcW w:type="dxa" w:w="4968"/>
            <w:vAlign w:val="top"/>
          </w:tcPr>
          <w:p>
            <w:r>
              <w:t>Domain</w:t>
            </w:r>
          </w:p>
        </w:tc>
        <w:tc>
          <w:tcPr>
            <w:tcW w:type="dxa" w:w="4968"/>
            <w:vAlign w:val="top"/>
          </w:tcPr>
          <w:p>
            <w:r>
              <w:t>Multi-business services</w:t>
            </w:r>
          </w:p>
        </w:tc>
      </w:tr>
      <w:tr>
        <w:tc>
          <w:tcPr>
            <w:tcW w:type="dxa" w:w="4968"/>
            <w:vAlign w:val="top"/>
          </w:tcPr>
          <w:p>
            <w:r>
              <w:t>Client</w:t>
            </w:r>
          </w:p>
        </w:tc>
        <w:tc>
          <w:tcPr>
            <w:tcW w:type="dxa" w:w="4968"/>
            <w:vAlign w:val="top"/>
          </w:tcPr>
          <w:p>
            <w:r>
              <w:t>Atiat ecosystem</w:t>
            </w:r>
          </w:p>
        </w:tc>
      </w:tr>
      <w:tr>
        <w:tc>
          <w:tcPr>
            <w:tcW w:type="dxa" w:w="4968"/>
            <w:vAlign w:val="top"/>
          </w:tcPr>
          <w:p>
            <w:r>
              <w:t>Company boundary</w:t>
            </w:r>
          </w:p>
        </w:tc>
        <w:tc>
          <w:tcPr>
            <w:tcW w:type="dxa" w:w="4968"/>
            <w:vAlign w:val="top"/>
          </w:tcPr>
          <w:p>
            <w:r>
              <w:t>Insurance, mobility, POF/document services and subsidiaries</w:t>
            </w:r>
          </w:p>
        </w:tc>
      </w:tr>
      <w:tr>
        <w:tc>
          <w:tcPr>
            <w:tcW w:type="dxa" w:w="4968"/>
            <w:vAlign w:val="top"/>
          </w:tcPr>
          <w:p>
            <w:r>
              <w:t>Experience</w:t>
            </w:r>
          </w:p>
        </w:tc>
        <w:tc>
          <w:tcPr>
            <w:tcW w:type="dxa" w:w="4968"/>
            <w:vAlign w:val="top"/>
          </w:tcPr>
          <w:p>
            <w:r>
              <w:t>Central dashboard with company-aware views</w:t>
            </w:r>
          </w:p>
        </w:tc>
      </w:tr>
      <w:tr>
        <w:tc>
          <w:tcPr>
            <w:tcW w:type="dxa" w:w="4968"/>
            <w:vAlign w:val="top"/>
          </w:tcPr>
          <w:p>
            <w:r>
              <w:t>Core requirement</w:t>
            </w:r>
          </w:p>
        </w:tc>
        <w:tc>
          <w:tcPr>
            <w:tcW w:type="dxa" w:w="4968"/>
            <w:vAlign w:val="top"/>
          </w:tcPr>
          <w:p>
            <w:r>
              <w:t>One identity/context layer with explicit company switching</w:t>
            </w:r>
          </w:p>
        </w:tc>
      </w:tr>
      <w:tr>
        <w:tc>
          <w:tcPr>
            <w:tcW w:type="dxa" w:w="4968"/>
            <w:vAlign w:val="top"/>
          </w:tcPr>
          <w:p>
            <w:r>
              <w:t>Tools</w:t>
            </w:r>
          </w:p>
        </w:tc>
        <w:tc>
          <w:tcPr>
            <w:tcW w:type="dxa" w:w="4968"/>
            <w:vAlign w:val="top"/>
          </w:tcPr>
          <w:p>
            <w:r>
              <w:t>Company-specific operational services</w:t>
            </w:r>
          </w:p>
        </w:tc>
      </w:tr>
      <w:tr>
        <w:tc>
          <w:tcPr>
            <w:tcW w:type="dxa" w:w="4968"/>
            <w:vAlign w:val="top"/>
          </w:tcPr>
          <w:p>
            <w:r>
              <w:t>Critical controls</w:t>
            </w:r>
          </w:p>
        </w:tc>
        <w:tc>
          <w:tcPr>
            <w:tcW w:type="dxa" w:w="4968"/>
            <w:vAlign w:val="top"/>
          </w:tcPr>
          <w:p>
            <w:r>
              <w:t>Company isolation, role permissions, document/customer context</w:t>
            </w:r>
          </w:p>
        </w:tc>
      </w:tr>
      <w:tr>
        <w:tc>
          <w:tcPr>
            <w:tcW w:type="dxa" w:w="4968"/>
            <w:vAlign w:val="top"/>
          </w:tcPr>
          <w:p>
            <w:r>
              <w:t>Evaluation</w:t>
            </w:r>
          </w:p>
        </w:tc>
        <w:tc>
          <w:tcPr>
            <w:tcW w:type="dxa" w:w="4968"/>
            <w:vAlign w:val="top"/>
          </w:tcPr>
          <w:p>
            <w:r>
              <w:t>Ambiguous company requests, cross-company retrieval, permissions and workflow routing</w:t>
            </w:r>
          </w:p>
        </w:tc>
      </w:tr>
    </w:tbl>
    <w:p>
      <w:pPr>
        <w:pStyle w:val="Heading1"/>
      </w:pPr>
      <w:r>
        <w:t>23. Low-Code / Existing Stack Alignment</w:t>
      </w:r>
    </w:p>
    <w:p>
      <w:r>
        <w:t>The blueprint is technology-neutral, but it fits the existing Synbot direction: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Capability</w:t>
            </w:r>
          </w:p>
        </w:tc>
        <w:tc>
          <w:tcPr>
            <w:tcW w:type="dxa" w:w="4968"/>
            <w:shd w:fill="EAF2F8"/>
            <w:vAlign w:val="center"/>
          </w:tcPr>
          <w:p>
            <w:r>
              <w:rPr>
                <w:b/>
              </w:rPr>
              <w:t>Practical implementation direction</w:t>
            </w:r>
          </w:p>
        </w:tc>
      </w:tr>
      <w:tr>
        <w:tc>
          <w:tcPr>
            <w:tcW w:type="dxa" w:w="4968"/>
            <w:vAlign w:val="top"/>
          </w:tcPr>
          <w:p>
            <w:r>
              <w:t>API/orchestration</w:t>
            </w:r>
          </w:p>
        </w:tc>
        <w:tc>
          <w:tcPr>
            <w:tcW w:type="dxa" w:w="4968"/>
            <w:vAlign w:val="top"/>
          </w:tcPr>
          <w:p>
            <w:r>
              <w:t>FastAPI</w:t>
            </w:r>
          </w:p>
        </w:tc>
      </w:tr>
      <w:tr>
        <w:tc>
          <w:tcPr>
            <w:tcW w:type="dxa" w:w="4968"/>
            <w:vAlign w:val="top"/>
          </w:tcPr>
          <w:p>
            <w:r>
              <w:t>Primary relational data</w:t>
            </w:r>
          </w:p>
        </w:tc>
        <w:tc>
          <w:tcPr>
            <w:tcW w:type="dxa" w:w="4968"/>
            <w:vAlign w:val="top"/>
          </w:tcPr>
          <w:p>
            <w:r>
              <w:t>PostgreSQL / Supabase where appropriate</w:t>
            </w:r>
          </w:p>
        </w:tc>
      </w:tr>
      <w:tr>
        <w:tc>
          <w:tcPr>
            <w:tcW w:type="dxa" w:w="4968"/>
            <w:vAlign w:val="top"/>
          </w:tcPr>
          <w:p>
            <w:r>
              <w:t>RAG</w:t>
            </w:r>
          </w:p>
        </w:tc>
        <w:tc>
          <w:tcPr>
            <w:tcW w:type="dxa" w:w="4968"/>
            <w:vAlign w:val="top"/>
          </w:tcPr>
          <w:p>
            <w:r>
              <w:t>pgvector/Supabase or equivalent</w:t>
            </w:r>
          </w:p>
        </w:tc>
      </w:tr>
      <w:tr>
        <w:tc>
          <w:tcPr>
            <w:tcW w:type="dxa" w:w="4968"/>
            <w:vAlign w:val="top"/>
          </w:tcPr>
          <w:p>
            <w:r>
              <w:t>Automation</w:t>
            </w:r>
          </w:p>
        </w:tc>
        <w:tc>
          <w:tcPr>
            <w:tcW w:type="dxa" w:w="4968"/>
            <w:vAlign w:val="top"/>
          </w:tcPr>
          <w:p>
            <w:r>
              <w:t>n8n where workflow orchestration is useful</w:t>
            </w:r>
          </w:p>
        </w:tc>
      </w:tr>
      <w:tr>
        <w:tc>
          <w:tcPr>
            <w:tcW w:type="dxa" w:w="4968"/>
            <w:vAlign w:val="top"/>
          </w:tcPr>
          <w:p>
            <w:r>
              <w:t>Frontend</w:t>
            </w:r>
          </w:p>
        </w:tc>
        <w:tc>
          <w:tcPr>
            <w:tcW w:type="dxa" w:w="4968"/>
            <w:vAlign w:val="top"/>
          </w:tcPr>
          <w:p>
            <w:r>
              <w:t>React/Vite/Builder.io</w:t>
            </w:r>
          </w:p>
        </w:tc>
      </w:tr>
      <w:tr>
        <w:tc>
          <w:tcPr>
            <w:tcW w:type="dxa" w:w="4968"/>
            <w:vAlign w:val="top"/>
          </w:tcPr>
          <w:p>
            <w:r>
              <w:t>LLM layer</w:t>
            </w:r>
          </w:p>
        </w:tc>
        <w:tc>
          <w:tcPr>
            <w:tcW w:type="dxa" w:w="4968"/>
            <w:vAlign w:val="top"/>
          </w:tcPr>
          <w:p>
            <w:r>
              <w:t>Configurable provider/model adapter</w:t>
            </w:r>
          </w:p>
        </w:tc>
      </w:tr>
      <w:tr>
        <w:tc>
          <w:tcPr>
            <w:tcW w:type="dxa" w:w="4968"/>
            <w:vAlign w:val="top"/>
          </w:tcPr>
          <w:p>
            <w:r>
              <w:t>Deployment</w:t>
            </w:r>
          </w:p>
        </w:tc>
        <w:tc>
          <w:tcPr>
            <w:tcW w:type="dxa" w:w="4968"/>
            <w:vAlign w:val="top"/>
          </w:tcPr>
          <w:p>
            <w:r>
              <w:t>Docker-based services with client-specific configuration</w:t>
            </w:r>
          </w:p>
        </w:tc>
      </w:tr>
      <w:tr>
        <w:tc>
          <w:tcPr>
            <w:tcW w:type="dxa" w:w="4968"/>
            <w:vAlign w:val="top"/>
          </w:tcPr>
          <w:p>
            <w:r>
              <w:t>Version control</w:t>
            </w:r>
          </w:p>
        </w:tc>
        <w:tc>
          <w:tcPr>
            <w:tcW w:type="dxa" w:w="4968"/>
            <w:vAlign w:val="top"/>
          </w:tcPr>
          <w:p>
            <w:r>
              <w:t>Git/GitHub</w:t>
            </w:r>
          </w:p>
        </w:tc>
      </w:tr>
      <w:tr>
        <w:tc>
          <w:tcPr>
            <w:tcW w:type="dxa" w:w="4968"/>
            <w:vAlign w:val="top"/>
          </w:tcPr>
          <w:p>
            <w:r>
              <w:t>Monitoring</w:t>
            </w:r>
          </w:p>
        </w:tc>
        <w:tc>
          <w:tcPr>
            <w:tcW w:type="dxa" w:w="4968"/>
            <w:vAlign w:val="top"/>
          </w:tcPr>
          <w:p>
            <w:r>
              <w:t>Application logs + structured Synbot telemetry</w:t>
            </w:r>
          </w:p>
        </w:tc>
      </w:tr>
    </w:tbl>
    <w:p>
      <w:pPr>
        <w:pStyle w:val="Heading1"/>
      </w:pPr>
      <w:r>
        <w:t>24. What Must Remain Centralised</w:t>
      </w:r>
    </w:p>
    <w:p>
      <w:pPr>
        <w:pStyle w:val="ListBullet"/>
      </w:pPr>
      <w:r>
        <w:t>Universal conversational standard</w:t>
      </w:r>
    </w:p>
    <w:p>
      <w:pPr>
        <w:pStyle w:val="ListBullet"/>
      </w:pPr>
      <w:r>
        <w:t>Grounding and confidence rules</w:t>
      </w:r>
    </w:p>
    <w:p>
      <w:pPr>
        <w:pStyle w:val="ListBullet"/>
      </w:pPr>
      <w:r>
        <w:t>Security and tenant-boundary enforcement</w:t>
      </w:r>
    </w:p>
    <w:p>
      <w:pPr>
        <w:pStyle w:val="ListBullet"/>
      </w:pPr>
      <w:r>
        <w:t>Evaluation framework</w:t>
      </w:r>
    </w:p>
    <w:p>
      <w:pPr>
        <w:pStyle w:val="ListBullet"/>
      </w:pPr>
      <w:r>
        <w:t>Tool contract conventions</w:t>
      </w:r>
    </w:p>
    <w:p>
      <w:pPr>
        <w:pStyle w:val="ListBullet"/>
      </w:pPr>
      <w:r>
        <w:t>Versioning and release controls</w:t>
      </w:r>
    </w:p>
    <w:p>
      <w:pPr>
        <w:pStyle w:val="ListBullet"/>
      </w:pPr>
      <w:r>
        <w:t>Core telemetry schema</w:t>
      </w:r>
    </w:p>
    <w:p>
      <w:pPr>
        <w:pStyle w:val="Heading1"/>
      </w:pPr>
      <w:r>
        <w:t>25. What Should Remain Configurable</w:t>
      </w:r>
    </w:p>
    <w:p>
      <w:pPr>
        <w:pStyle w:val="ListBullet"/>
      </w:pPr>
      <w:r>
        <w:t>Domain terminology</w:t>
      </w:r>
    </w:p>
    <w:p>
      <w:pPr>
        <w:pStyle w:val="ListBullet"/>
      </w:pPr>
      <w:r>
        <w:t>Client terminology and identity</w:t>
      </w:r>
    </w:p>
    <w:p>
      <w:pPr>
        <w:pStyle w:val="ListBullet"/>
      </w:pPr>
      <w:r>
        <w:t>Source-of-truth mapping</w:t>
      </w:r>
    </w:p>
    <w:p>
      <w:pPr>
        <w:pStyle w:val="ListBullet"/>
      </w:pPr>
      <w:r>
        <w:t>Document collections</w:t>
      </w:r>
    </w:p>
    <w:p>
      <w:pPr>
        <w:pStyle w:val="ListBullet"/>
      </w:pPr>
      <w:r>
        <w:t>Role permissions</w:t>
      </w:r>
    </w:p>
    <w:p>
      <w:pPr>
        <w:pStyle w:val="ListBullet"/>
      </w:pPr>
      <w:r>
        <w:t>Available tools</w:t>
      </w:r>
    </w:p>
    <w:p>
      <w:pPr>
        <w:pStyle w:val="ListBullet"/>
      </w:pPr>
      <w:r>
        <w:t>Workflow rules</w:t>
      </w:r>
    </w:p>
    <w:p>
      <w:pPr>
        <w:pStyle w:val="ListBullet"/>
      </w:pPr>
      <w:r>
        <w:t>Escalation paths</w:t>
      </w:r>
    </w:p>
    <w:p>
      <w:pPr>
        <w:pStyle w:val="ListBullet"/>
      </w:pPr>
      <w:r>
        <w:t>Response examples</w:t>
      </w:r>
    </w:p>
    <w:p>
      <w:pPr>
        <w:pStyle w:val="ListBullet"/>
      </w:pPr>
      <w:r>
        <w:t>Evaluation cases</w:t>
      </w:r>
    </w:p>
    <w:p>
      <w:pPr>
        <w:pStyle w:val="Heading1"/>
      </w:pPr>
      <w:r>
        <w:t>26. Anti-Patterns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Anti-pattern</w:t>
            </w:r>
          </w:p>
        </w:tc>
        <w:tc>
          <w:tcPr>
            <w:tcW w:type="dxa" w:w="4968"/>
            <w:shd w:fill="EAF2F8"/>
            <w:vAlign w:val="center"/>
          </w:tcPr>
          <w:p>
            <w:r>
              <w:rPr>
                <w:b/>
              </w:rPr>
              <w:t>Why it fails</w:t>
            </w:r>
          </w:p>
        </w:tc>
      </w:tr>
      <w:tr>
        <w:tc>
          <w:tcPr>
            <w:tcW w:type="dxa" w:w="4968"/>
            <w:vAlign w:val="top"/>
          </w:tcPr>
          <w:p>
            <w:r>
              <w:t>One giant prompt for everything</w:t>
            </w:r>
          </w:p>
        </w:tc>
        <w:tc>
          <w:tcPr>
            <w:tcW w:type="dxa" w:w="4968"/>
            <w:vAlign w:val="top"/>
          </w:tcPr>
          <w:p>
            <w:r>
              <w:t>Becomes brittle and difficult to maintain</w:t>
            </w:r>
          </w:p>
        </w:tc>
      </w:tr>
      <w:tr>
        <w:tc>
          <w:tcPr>
            <w:tcW w:type="dxa" w:w="4968"/>
            <w:vAlign w:val="top"/>
          </w:tcPr>
          <w:p>
            <w:r>
              <w:t>Prompt-only security</w:t>
            </w:r>
          </w:p>
        </w:tc>
        <w:tc>
          <w:tcPr>
            <w:tcW w:type="dxa" w:w="4968"/>
            <w:vAlign w:val="top"/>
          </w:tcPr>
          <w:p>
            <w:r>
              <w:t>LLMs are not security boundaries</w:t>
            </w:r>
          </w:p>
        </w:tc>
      </w:tr>
      <w:tr>
        <w:tc>
          <w:tcPr>
            <w:tcW w:type="dxa" w:w="4968"/>
            <w:vAlign w:val="top"/>
          </w:tcPr>
          <w:p>
            <w:r>
              <w:t>RAG for every question</w:t>
            </w:r>
          </w:p>
        </w:tc>
        <w:tc>
          <w:tcPr>
            <w:tcW w:type="dxa" w:w="4968"/>
            <w:vAlign w:val="top"/>
          </w:tcPr>
          <w:p>
            <w:r>
              <w:t>Adds latency and can reduce precision</w:t>
            </w:r>
          </w:p>
        </w:tc>
      </w:tr>
      <w:tr>
        <w:tc>
          <w:tcPr>
            <w:tcW w:type="dxa" w:w="4968"/>
            <w:vAlign w:val="top"/>
          </w:tcPr>
          <w:p>
            <w:r>
              <w:t>One database path for every fact</w:t>
            </w:r>
          </w:p>
        </w:tc>
        <w:tc>
          <w:tcPr>
            <w:tcW w:type="dxa" w:w="4968"/>
            <w:vAlign w:val="top"/>
          </w:tcPr>
          <w:p>
            <w:r>
              <w:t>Different facts have different authorities</w:t>
            </w:r>
          </w:p>
        </w:tc>
      </w:tr>
      <w:tr>
        <w:tc>
          <w:tcPr>
            <w:tcW w:type="dxa" w:w="4968"/>
            <w:vAlign w:val="top"/>
          </w:tcPr>
          <w:p>
            <w:r>
              <w:t>Duplicated client code</w:t>
            </w:r>
          </w:p>
        </w:tc>
        <w:tc>
          <w:tcPr>
            <w:tcW w:type="dxa" w:w="4968"/>
            <w:vAlign w:val="top"/>
          </w:tcPr>
          <w:p>
            <w:r>
              <w:t>Changes become expensive and inconsistent</w:t>
            </w:r>
          </w:p>
        </w:tc>
      </w:tr>
      <w:tr>
        <w:tc>
          <w:tcPr>
            <w:tcW w:type="dxa" w:w="4968"/>
            <w:vAlign w:val="top"/>
          </w:tcPr>
          <w:p>
            <w:r>
              <w:t>Silent company switching</w:t>
            </w:r>
          </w:p>
        </w:tc>
        <w:tc>
          <w:tcPr>
            <w:tcW w:type="dxa" w:w="4968"/>
            <w:vAlign w:val="top"/>
          </w:tcPr>
          <w:p>
            <w:r>
              <w:t>Creates context and data-isolation risk</w:t>
            </w:r>
          </w:p>
        </w:tc>
      </w:tr>
      <w:tr>
        <w:tc>
          <w:tcPr>
            <w:tcW w:type="dxa" w:w="4968"/>
            <w:vAlign w:val="top"/>
          </w:tcPr>
          <w:p>
            <w:r>
              <w:t>Hard-coded tool behaviour</w:t>
            </w:r>
          </w:p>
        </w:tc>
        <w:tc>
          <w:tcPr>
            <w:tcW w:type="dxa" w:w="4968"/>
            <w:vAlign w:val="top"/>
          </w:tcPr>
          <w:p>
            <w:r>
              <w:t>Makes client evolution difficult</w:t>
            </w:r>
          </w:p>
        </w:tc>
      </w:tr>
      <w:tr>
        <w:tc>
          <w:tcPr>
            <w:tcW w:type="dxa" w:w="4968"/>
            <w:vAlign w:val="top"/>
          </w:tcPr>
          <w:p>
            <w:r>
              <w:t>Manual production prompt edits</w:t>
            </w:r>
          </w:p>
        </w:tc>
        <w:tc>
          <w:tcPr>
            <w:tcW w:type="dxa" w:w="4968"/>
            <w:vAlign w:val="top"/>
          </w:tcPr>
          <w:p>
            <w:r>
              <w:t>Destroys traceability and rollback</w:t>
            </w:r>
          </w:p>
        </w:tc>
      </w:tr>
    </w:tbl>
    <w:p>
      <w:pPr>
        <w:pStyle w:val="Heading1"/>
      </w:pPr>
      <w:r>
        <w:t>27. Implementation Priorities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Priority</w:t>
            </w:r>
          </w:p>
        </w:tc>
        <w:tc>
          <w:tcPr>
            <w:tcW w:type="dxa" w:w="4968"/>
            <w:shd w:fill="EAF2F8"/>
            <w:vAlign w:val="center"/>
          </w:tcPr>
          <w:p>
            <w:r>
              <w:rPr>
                <w:b/>
              </w:rPr>
              <w:t>Build</w:t>
            </w:r>
          </w:p>
        </w:tc>
      </w:tr>
      <w:tr>
        <w:tc>
          <w:tcPr>
            <w:tcW w:type="dxa" w:w="4968"/>
            <w:vAlign w:val="top"/>
          </w:tcPr>
          <w:p>
            <w:r>
              <w:t>P0</w:t>
            </w:r>
          </w:p>
        </w:tc>
        <w:tc>
          <w:tcPr>
            <w:tcW w:type="dxa" w:w="4968"/>
            <w:vAlign w:val="top"/>
          </w:tcPr>
          <w:p>
            <w:r>
              <w:t>Core runtime context + tenant/company boundary + source registry</w:t>
            </w:r>
          </w:p>
        </w:tc>
      </w:tr>
      <w:tr>
        <w:tc>
          <w:tcPr>
            <w:tcW w:type="dxa" w:w="4968"/>
            <w:vAlign w:val="top"/>
          </w:tcPr>
          <w:p>
            <w:r>
              <w:t>P0</w:t>
            </w:r>
          </w:p>
        </w:tc>
        <w:tc>
          <w:tcPr>
            <w:tcW w:type="dxa" w:w="4968"/>
            <w:vAlign w:val="top"/>
          </w:tcPr>
          <w:p>
            <w:r>
              <w:t>Prompt assembly engine</w:t>
            </w:r>
          </w:p>
        </w:tc>
      </w:tr>
      <w:tr>
        <w:tc>
          <w:tcPr>
            <w:tcW w:type="dxa" w:w="4968"/>
            <w:vAlign w:val="top"/>
          </w:tcPr>
          <w:p>
            <w:r>
              <w:t>P0</w:t>
            </w:r>
          </w:p>
        </w:tc>
        <w:tc>
          <w:tcPr>
            <w:tcW w:type="dxa" w:w="4968"/>
            <w:vAlign w:val="top"/>
          </w:tcPr>
          <w:p>
            <w:r>
              <w:t>Tool registry and action confirmation contract</w:t>
            </w:r>
          </w:p>
        </w:tc>
      </w:tr>
      <w:tr>
        <w:tc>
          <w:tcPr>
            <w:tcW w:type="dxa" w:w="4968"/>
            <w:vAlign w:val="top"/>
          </w:tcPr>
          <w:p>
            <w:r>
              <w:t>P0</w:t>
            </w:r>
          </w:p>
        </w:tc>
        <w:tc>
          <w:tcPr>
            <w:tcW w:type="dxa" w:w="4968"/>
            <w:vAlign w:val="top"/>
          </w:tcPr>
          <w:p>
            <w:r>
              <w:t>Universal evaluation harness</w:t>
            </w:r>
          </w:p>
        </w:tc>
      </w:tr>
      <w:tr>
        <w:tc>
          <w:tcPr>
            <w:tcW w:type="dxa" w:w="4968"/>
            <w:vAlign w:val="top"/>
          </w:tcPr>
          <w:p>
            <w:r>
              <w:t>P1</w:t>
            </w:r>
          </w:p>
        </w:tc>
        <w:tc>
          <w:tcPr>
            <w:tcW w:type="dxa" w:w="4968"/>
            <w:vAlign w:val="top"/>
          </w:tcPr>
          <w:p>
            <w:r>
              <w:t>Domain/client configuration packs</w:t>
            </w:r>
          </w:p>
        </w:tc>
      </w:tr>
      <w:tr>
        <w:tc>
          <w:tcPr>
            <w:tcW w:type="dxa" w:w="4968"/>
            <w:vAlign w:val="top"/>
          </w:tcPr>
          <w:p>
            <w:r>
              <w:t>P1</w:t>
            </w:r>
          </w:p>
        </w:tc>
        <w:tc>
          <w:tcPr>
            <w:tcW w:type="dxa" w:w="4968"/>
            <w:vAlign w:val="top"/>
          </w:tcPr>
          <w:p>
            <w:r>
              <w:t>RAG metadata/access filtering</w:t>
            </w:r>
          </w:p>
        </w:tc>
      </w:tr>
      <w:tr>
        <w:tc>
          <w:tcPr>
            <w:tcW w:type="dxa" w:w="4968"/>
            <w:vAlign w:val="top"/>
          </w:tcPr>
          <w:p>
            <w:r>
              <w:t>P1</w:t>
            </w:r>
          </w:p>
        </w:tc>
        <w:tc>
          <w:tcPr>
            <w:tcW w:type="dxa" w:w="4968"/>
            <w:vAlign w:val="top"/>
          </w:tcPr>
          <w:p>
            <w:r>
              <w:t>Structured telemetry</w:t>
            </w:r>
          </w:p>
        </w:tc>
      </w:tr>
      <w:tr>
        <w:tc>
          <w:tcPr>
            <w:tcW w:type="dxa" w:w="4968"/>
            <w:vAlign w:val="top"/>
          </w:tcPr>
          <w:p>
            <w:r>
              <w:t>P2</w:t>
            </w:r>
          </w:p>
        </w:tc>
        <w:tc>
          <w:tcPr>
            <w:tcW w:type="dxa" w:w="4968"/>
            <w:vAlign w:val="top"/>
          </w:tcPr>
          <w:p>
            <w:r>
              <w:t>Admin configuration UI</w:t>
            </w:r>
          </w:p>
        </w:tc>
      </w:tr>
      <w:tr>
        <w:tc>
          <w:tcPr>
            <w:tcW w:type="dxa" w:w="4968"/>
            <w:vAlign w:val="top"/>
          </w:tcPr>
          <w:p>
            <w:r>
              <w:t>P2</w:t>
            </w:r>
          </w:p>
        </w:tc>
        <w:tc>
          <w:tcPr>
            <w:tcW w:type="dxa" w:w="4968"/>
            <w:vAlign w:val="top"/>
          </w:tcPr>
          <w:p>
            <w:r>
              <w:t>Quality dashboard</w:t>
            </w:r>
          </w:p>
        </w:tc>
      </w:tr>
      <w:tr>
        <w:tc>
          <w:tcPr>
            <w:tcW w:type="dxa" w:w="4968"/>
            <w:vAlign w:val="top"/>
          </w:tcPr>
          <w:p>
            <w:r>
              <w:t>P3</w:t>
            </w:r>
          </w:p>
        </w:tc>
        <w:tc>
          <w:tcPr>
            <w:tcW w:type="dxa" w:w="4968"/>
            <w:vAlign w:val="top"/>
          </w:tcPr>
          <w:p>
            <w:r>
              <w:t>Automated optimisation/recommendation layer</w:t>
            </w:r>
          </w:p>
        </w:tc>
      </w:tr>
    </w:tbl>
    <w:p>
      <w:pPr>
        <w:pStyle w:val="Heading1"/>
      </w:pPr>
      <w:r>
        <w:t>28. Definition of Done</w:t>
      </w:r>
    </w:p>
    <w:p>
      <w:pPr>
        <w:pStyle w:val="ListBullet"/>
      </w:pPr>
      <w:r>
        <w:t>A new client can be onboarded mainly through configuration and integrations rather than cloning the chatbot.</w:t>
      </w:r>
    </w:p>
    <w:p>
      <w:pPr>
        <w:pStyle w:val="ListBullet"/>
      </w:pPr>
      <w:r>
        <w:t>The same conversational core operates across domains.</w:t>
      </w:r>
    </w:p>
    <w:p>
      <w:pPr>
        <w:pStyle w:val="ListBullet"/>
      </w:pPr>
      <w:r>
        <w:t>Every current-data answer has an identifiable authorised source.</w:t>
      </w:r>
    </w:p>
    <w:p>
      <w:pPr>
        <w:pStyle w:val="ListBullet"/>
      </w:pPr>
      <w:r>
        <w:t>Tenant/company boundaries are enforced outside the LLM.</w:t>
      </w:r>
    </w:p>
    <w:p>
      <w:pPr>
        <w:pStyle w:val="ListBullet"/>
      </w:pPr>
      <w:r>
        <w:t>Consequential actions require explicit tool confirmation.</w:t>
      </w:r>
    </w:p>
    <w:p>
      <w:pPr>
        <w:pStyle w:val="ListBullet"/>
      </w:pPr>
      <w:r>
        <w:t>Golden tests run before release.</w:t>
      </w:r>
    </w:p>
    <w:p>
      <w:pPr>
        <w:pStyle w:val="ListBullet"/>
      </w:pPr>
      <w:r>
        <w:t>Production behaviour is traceable to versioned configuration.</w:t>
      </w:r>
    </w:p>
    <w:p>
      <w:pPr>
        <w:pStyle w:val="ListBullet"/>
      </w:pPr>
      <w:r>
        <w:t>Failures can be classified and routed to the correct engineering layer.</w:t>
      </w:r>
    </w:p>
    <w:p>
      <w:pPr>
        <w:pStyle w:val="ListBullet"/>
      </w:pPr>
      <w:r>
        <w:t>Client-specific terminology can evolve without changing the universal core.</w:t>
      </w:r>
    </w:p>
    <w:p>
      <w:pPr>
        <w:pStyle w:val="Heading1"/>
      </w:pPr>
      <w:r>
        <w:t>29. Relationship to Documents 1–6</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Document</w:t>
            </w:r>
          </w:p>
        </w:tc>
        <w:tc>
          <w:tcPr>
            <w:tcW w:type="dxa" w:w="4968"/>
            <w:shd w:fill="EAF2F8"/>
            <w:vAlign w:val="center"/>
          </w:tcPr>
          <w:p>
            <w:r>
              <w:rPr>
                <w:b/>
              </w:rPr>
              <w:t>Purpose</w:t>
            </w:r>
          </w:p>
        </w:tc>
      </w:tr>
      <w:tr>
        <w:tc>
          <w:tcPr>
            <w:tcW w:type="dxa" w:w="4968"/>
            <w:vAlign w:val="top"/>
          </w:tcPr>
          <w:p>
            <w:r>
              <w:t>01</w:t>
            </w:r>
          </w:p>
        </w:tc>
        <w:tc>
          <w:tcPr>
            <w:tcW w:type="dxa" w:w="4968"/>
            <w:vAlign w:val="top"/>
          </w:tcPr>
          <w:p>
            <w:r>
              <w:t>Universal conversational contract</w:t>
            </w:r>
          </w:p>
        </w:tc>
      </w:tr>
      <w:tr>
        <w:tc>
          <w:tcPr>
            <w:tcW w:type="dxa" w:w="4968"/>
            <w:vAlign w:val="top"/>
          </w:tcPr>
          <w:p>
            <w:r>
              <w:t>02</w:t>
            </w:r>
          </w:p>
        </w:tc>
        <w:tc>
          <w:tcPr>
            <w:tcW w:type="dxa" w:w="4968"/>
            <w:vAlign w:val="top"/>
          </w:tcPr>
          <w:p>
            <w:r>
              <w:t>Practical voice and response behaviour</w:t>
            </w:r>
          </w:p>
        </w:tc>
      </w:tr>
      <w:tr>
        <w:tc>
          <w:tcPr>
            <w:tcW w:type="dxa" w:w="4968"/>
            <w:vAlign w:val="top"/>
          </w:tcPr>
          <w:p>
            <w:r>
              <w:t>03</w:t>
            </w:r>
          </w:p>
        </w:tc>
        <w:tc>
          <w:tcPr>
            <w:tcW w:type="dxa" w:w="4968"/>
            <w:vAlign w:val="top"/>
          </w:tcPr>
          <w:p>
            <w:r>
              <w:t>Intelligence, grounding and evidence framework</w:t>
            </w:r>
          </w:p>
        </w:tc>
      </w:tr>
      <w:tr>
        <w:tc>
          <w:tcPr>
            <w:tcW w:type="dxa" w:w="4968"/>
            <w:vAlign w:val="top"/>
          </w:tcPr>
          <w:p>
            <w:r>
              <w:t>04</w:t>
            </w:r>
          </w:p>
        </w:tc>
        <w:tc>
          <w:tcPr>
            <w:tcW w:type="dxa" w:w="4968"/>
            <w:vAlign w:val="top"/>
          </w:tcPr>
          <w:p>
            <w:r>
              <w:t>Prompt architecture and master system prompt</w:t>
            </w:r>
          </w:p>
        </w:tc>
      </w:tr>
      <w:tr>
        <w:tc>
          <w:tcPr>
            <w:tcW w:type="dxa" w:w="4968"/>
            <w:vAlign w:val="top"/>
          </w:tcPr>
          <w:p>
            <w:r>
              <w:t>05</w:t>
            </w:r>
          </w:p>
        </w:tc>
        <w:tc>
          <w:tcPr>
            <w:tcW w:type="dxa" w:w="4968"/>
            <w:vAlign w:val="top"/>
          </w:tcPr>
          <w:p>
            <w:r>
              <w:t>Evaluation, testing and quality control</w:t>
            </w:r>
          </w:p>
        </w:tc>
      </w:tr>
      <w:tr>
        <w:tc>
          <w:tcPr>
            <w:tcW w:type="dxa" w:w="4968"/>
            <w:vAlign w:val="top"/>
          </w:tcPr>
          <w:p>
            <w:r>
              <w:t>06</w:t>
            </w:r>
          </w:p>
        </w:tc>
        <w:tc>
          <w:tcPr>
            <w:tcW w:type="dxa" w:w="4968"/>
            <w:vAlign w:val="top"/>
          </w:tcPr>
          <w:p>
            <w:r>
              <w:t>Implementation architecture and deployment blueprint</w:t>
            </w:r>
          </w:p>
        </w:tc>
      </w:tr>
    </w:tbl>
    <w:p>
      <w:pPr>
        <w:pStyle w:val="Heading1"/>
      </w:pPr>
      <w:r>
        <w:t>30. Closing Principle</w:t>
      </w:r>
    </w:p>
    <w:p>
      <w:pPr>
        <w:pStyle w:val="IntenseQuote"/>
      </w:pPr>
      <w:r>
        <w:t>Build Synbot as a platform, not a collection of chatbots.</w:t>
      </w:r>
    </w:p>
    <w:p>
      <w:r>
        <w:t>The implementation target is a stable conversational and intelligence core surrounded by controlled configuration, authorised evidence, client integrations and measurable quality. That is what allows Synbot Health, Placeware, Atiat, Finance, Energy and future deployments to evolve independently without losing the same underlying Synbot identity.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Synbot • Implementation Architecture &amp; Deployment Blueprint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