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Synbot Integration &amp; Systems Architecture</w:t>
      </w:r>
    </w:p>
    <w:p>
      <w:pPr>
        <w:jc w:val="center"/>
      </w:pPr>
      <w:r>
        <w:rPr>
          <w:i/>
          <w:sz w:val="22"/>
        </w:rPr>
        <w:t>Version 1.0 — Integration Layer</w:t>
      </w:r>
    </w:p>
    <w:p>
      <w:r>
        <w:t>Purpose: define how Synbot connects to enterprise systems, databases, APIs, workflow platforms, devices, and external services while keeping the Synbot core modular, secure, observable, and replaceable.</w:t>
      </w:r>
    </w:p>
    <w:p>
      <w:r>
        <w:t>Core principle: Synbot should integrate with systems without becoming dependent on their internal implementation.</w:t>
      </w:r>
    </w:p>
    <w:p>
      <w:pPr>
        <w:pStyle w:val="Heading1"/>
      </w:pPr>
      <w:r>
        <w:t>1. Architecture Principle</w:t>
      </w:r>
    </w:p>
    <w:p>
      <w:r>
        <w:t>Synbot is an orchestration and intelligence layer. It should not directly embed the business logic of every client system. Instead, integrations are exposed through controlled adapters, services, APIs, events, and workflows.</w:t>
      </w:r>
    </w:p>
    <w:p>
      <w:pPr>
        <w:pStyle w:val="ListBullet"/>
      </w:pPr>
      <w:r>
        <w:t>Keep the Synbot core independent from vendor-specific systems.</w:t>
      </w:r>
    </w:p>
    <w:p>
      <w:pPr>
        <w:pStyle w:val="ListBullet"/>
      </w:pPr>
      <w:r>
        <w:t>Use adapters to translate external system structures into Synbot contracts.</w:t>
      </w:r>
    </w:p>
    <w:p>
      <w:pPr>
        <w:pStyle w:val="ListBullet"/>
      </w:pPr>
      <w:r>
        <w:t>Keep credentials, connection details, and system-specific logic outside prompts.</w:t>
      </w:r>
    </w:p>
    <w:p>
      <w:pPr>
        <w:pStyle w:val="ListBullet"/>
      </w:pPr>
      <w:r>
        <w:t>Prefer read-only integration first; introduce write actions only when the workflow is proven.</w:t>
      </w:r>
    </w:p>
    <w:p>
      <w:pPr>
        <w:pStyle w:val="ListBullet"/>
      </w:pPr>
      <w:r>
        <w:t>Make every integration observable, retryable, auditable, and replaceable.</w:t>
      </w:r>
    </w:p>
    <w:p>
      <w:pPr>
        <w:pStyle w:val="ListBullet"/>
      </w:pPr>
      <w:r>
        <w:t>Never allow an external system to bypass Synbot security and tenant/company boundaries.</w:t>
      </w:r>
    </w:p>
    <w:p>
      <w:pPr>
        <w:pStyle w:val="Heading1"/>
      </w:pPr>
      <w:r>
        <w:t>2. Reference Integration Architecture</w:t>
      </w:r>
    </w:p>
    <w:p>
      <w:r>
        <w:t>Reference flow:</w:t>
      </w:r>
    </w:p>
    <w:p>
      <w:r>
        <w:t>User → Synbot Experience Layer → Synbot Gateway → Identity/Context → Router → Integration Service → Adapter/Connector → External System → Normalised Result → Validation → Reasoning/Action → Response</w:t>
      </w:r>
    </w:p>
    <w:p>
      <w:pPr>
        <w:pStyle w:val="ListBullet"/>
      </w:pPr>
      <w:r>
        <w:t>Synbot Gateway: common entry point for frontend and external consumers.</w:t>
      </w:r>
    </w:p>
    <w:p>
      <w:pPr>
        <w:pStyle w:val="ListBullet"/>
      </w:pPr>
      <w:r>
        <w:t>Integration Service: owns integration contracts, orchestration, retries, and normalisation.</w:t>
      </w:r>
    </w:p>
    <w:p>
      <w:pPr>
        <w:pStyle w:val="ListBullet"/>
      </w:pPr>
      <w:r>
        <w:t>Adapter/Connector: vendor/system-specific implementation.</w:t>
      </w:r>
    </w:p>
    <w:p>
      <w:pPr>
        <w:pStyle w:val="ListBullet"/>
      </w:pPr>
      <w:r>
        <w:t>External System: Sage, DRM Hope, PostgreSQL, Odoo, insurer API, mobility platform, document service, etc.</w:t>
      </w:r>
    </w:p>
    <w:p>
      <w:pPr>
        <w:pStyle w:val="ListBullet"/>
      </w:pPr>
      <w:r>
        <w:t>Normalised Result: stable Synbot-facing representation independent of vendor schema.</w:t>
      </w:r>
    </w:p>
    <w:p>
      <w:pPr>
        <w:pStyle w:val="Heading1"/>
      </w:pPr>
      <w:r>
        <w:t>3. Integration Categories</w:t>
      </w:r>
    </w:p>
    <w:p>
      <w:pPr>
        <w:pStyle w:val="ListBullet"/>
      </w:pPr>
      <w:r>
        <w:t>Database integrations — PostgreSQL, MySQL and controlled legacy database access.</w:t>
      </w:r>
    </w:p>
    <w:p>
      <w:pPr>
        <w:pStyle w:val="ListBullet"/>
      </w:pPr>
      <w:r>
        <w:t>REST/API integrations — client, partner, government, payment, insurance, mobility and document APIs.</w:t>
      </w:r>
    </w:p>
    <w:p>
      <w:pPr>
        <w:pStyle w:val="ListBullet"/>
      </w:pPr>
      <w:r>
        <w:t>File integrations — CSV, Excel, XML, PDF, scheduled exports and imports.</w:t>
      </w:r>
    </w:p>
    <w:p>
      <w:pPr>
        <w:pStyle w:val="ListBullet"/>
      </w:pPr>
      <w:r>
        <w:t>ERP/HMS integrations — Sage 50, Odoo, DRM Hope and future enterprise platforms.</w:t>
      </w:r>
    </w:p>
    <w:p>
      <w:pPr>
        <w:pStyle w:val="ListBullet"/>
      </w:pPr>
      <w:r>
        <w:t>Workflow integrations — n8n and controlled background processes.</w:t>
      </w:r>
    </w:p>
    <w:p>
      <w:pPr>
        <w:pStyle w:val="ListBullet"/>
      </w:pPr>
      <w:r>
        <w:t>Device integrations — approved medical/operational devices through an interoperability layer.</w:t>
      </w:r>
    </w:p>
    <w:p>
      <w:pPr>
        <w:pStyle w:val="ListBullet"/>
      </w:pPr>
      <w:r>
        <w:t>Event integrations — webhooks, queues and event-driven updates.</w:t>
      </w:r>
    </w:p>
    <w:p>
      <w:pPr>
        <w:pStyle w:val="ListBullet"/>
      </w:pPr>
      <w:r>
        <w:t>Identity integrations — SSO, OAuth/OIDC and enterprise authentication where required.</w:t>
      </w:r>
    </w:p>
    <w:p>
      <w:pPr>
        <w:pStyle w:val="Heading1"/>
      </w:pPr>
      <w:r>
        <w:t>4. Adapter Pattern</w:t>
      </w:r>
    </w:p>
    <w:p>
      <w:r>
        <w:t>Every external system should have an adapter rather than exposing its native structure throughout Synbot.</w:t>
      </w:r>
    </w:p>
    <w:p>
      <w:r>
        <w:t>Example:</w:t>
      </w:r>
    </w:p>
    <w:p>
      <w:r>
        <w:t>Sage Adapter → get_stock(), get_sales_order(), get_customer_balance(), get_invoice() → Synbot Inventory/Finance Contract</w:t>
      </w:r>
    </w:p>
    <w:p>
      <w:r>
        <w:t>This allows Sage to be replaced or upgraded without rewriting the conversational, agent, retrieval, security, or UX layers.</w:t>
      </w:r>
    </w:p>
    <w:p>
      <w:pPr>
        <w:pStyle w:val="Heading1"/>
      </w:pPr>
      <w:r>
        <w:t>5. Integration Contract</w:t>
      </w:r>
    </w:p>
    <w:p>
      <w:r>
        <w:t>Each integration should define:</w:t>
      </w:r>
    </w:p>
    <w:p>
      <w:pPr>
        <w:pStyle w:val="ListBullet"/>
      </w:pPr>
      <w:r>
        <w:t>Integration ID and version</w:t>
      </w:r>
    </w:p>
    <w:p>
      <w:pPr>
        <w:pStyle w:val="ListBullet"/>
      </w:pPr>
      <w:r>
        <w:t>System/vendor</w:t>
      </w:r>
    </w:p>
    <w:p>
      <w:pPr>
        <w:pStyle w:val="ListBullet"/>
      </w:pPr>
      <w:r>
        <w:t>Environment</w:t>
      </w:r>
    </w:p>
    <w:p>
      <w:pPr>
        <w:pStyle w:val="ListBullet"/>
      </w:pPr>
      <w:r>
        <w:t>Connection method</w:t>
      </w:r>
    </w:p>
    <w:p>
      <w:pPr>
        <w:pStyle w:val="ListBullet"/>
      </w:pPr>
      <w:r>
        <w:t>Authentication method</w:t>
      </w:r>
    </w:p>
    <w:p>
      <w:pPr>
        <w:pStyle w:val="ListBullet"/>
      </w:pPr>
      <w:r>
        <w:t>Available operations</w:t>
      </w:r>
    </w:p>
    <w:p>
      <w:pPr>
        <w:pStyle w:val="ListBullet"/>
      </w:pPr>
      <w:r>
        <w:t>Input schema</w:t>
      </w:r>
    </w:p>
    <w:p>
      <w:pPr>
        <w:pStyle w:val="ListBullet"/>
      </w:pPr>
      <w:r>
        <w:t>Output schema</w:t>
      </w:r>
    </w:p>
    <w:p>
      <w:pPr>
        <w:pStyle w:val="ListBullet"/>
      </w:pPr>
      <w:r>
        <w:t>Source-of-truth classification</w:t>
      </w:r>
    </w:p>
    <w:p>
      <w:pPr>
        <w:pStyle w:val="ListBullet"/>
      </w:pPr>
      <w:r>
        <w:t>Read/write capability</w:t>
      </w:r>
    </w:p>
    <w:p>
      <w:pPr>
        <w:pStyle w:val="ListBullet"/>
      </w:pPr>
      <w:r>
        <w:t>Permission requirements</w:t>
      </w:r>
    </w:p>
    <w:p>
      <w:pPr>
        <w:pStyle w:val="ListBullet"/>
      </w:pPr>
      <w:r>
        <w:t>Timeout and retry policy</w:t>
      </w:r>
    </w:p>
    <w:p>
      <w:pPr>
        <w:pStyle w:val="ListBullet"/>
      </w:pPr>
      <w:r>
        <w:t>Rate limits</w:t>
      </w:r>
    </w:p>
    <w:p>
      <w:pPr>
        <w:pStyle w:val="ListBullet"/>
      </w:pPr>
      <w:r>
        <w:t>Audit requirements</w:t>
      </w:r>
    </w:p>
    <w:p>
      <w:pPr>
        <w:pStyle w:val="ListBullet"/>
      </w:pPr>
      <w:r>
        <w:t>Health-check method</w:t>
      </w:r>
    </w:p>
    <w:p>
      <w:pPr>
        <w:pStyle w:val="ListBullet"/>
      </w:pPr>
      <w:r>
        <w:t>Failure behaviour</w:t>
      </w:r>
    </w:p>
    <w:p>
      <w:pPr>
        <w:pStyle w:val="ListBullet"/>
      </w:pPr>
      <w:r>
        <w:t>Data freshness expectations</w:t>
      </w:r>
    </w:p>
    <w:p>
      <w:pPr>
        <w:pStyle w:val="ListBullet"/>
      </w:pPr>
      <w:r>
        <w:t>Owner and support contact</w:t>
      </w:r>
    </w:p>
    <w:p>
      <w:pPr>
        <w:pStyle w:val="Heading1"/>
      </w:pPr>
      <w:r>
        <w:t>6. Normalisation Layer</w:t>
      </w:r>
    </w:p>
    <w:p>
      <w:r>
        <w:t>External systems frequently use inconsistent names, identifiers, statuses, dates, units, and structures. Synbot should normalise these before they reach the reasoning layer.</w:t>
      </w:r>
    </w:p>
    <w:p>
      <w:pPr>
        <w:pStyle w:val="ListBullet"/>
      </w:pPr>
      <w:r>
        <w:t>Map external IDs to stable Synbot identifiers where appropriate.</w:t>
      </w:r>
    </w:p>
    <w:p>
      <w:pPr>
        <w:pStyle w:val="ListBullet"/>
      </w:pPr>
      <w:r>
        <w:t>Normalise dates and timestamps.</w:t>
      </w:r>
    </w:p>
    <w:p>
      <w:pPr>
        <w:pStyle w:val="ListBullet"/>
      </w:pPr>
      <w:r>
        <w:t>Normalise status values without losing the original source status.</w:t>
      </w:r>
    </w:p>
    <w:p>
      <w:pPr>
        <w:pStyle w:val="ListBullet"/>
      </w:pPr>
      <w:r>
        <w:t>Preserve source system and source record references.</w:t>
      </w:r>
    </w:p>
    <w:p>
      <w:pPr>
        <w:pStyle w:val="ListBullet"/>
      </w:pPr>
      <w:r>
        <w:t>Retain raw values where auditability matters.</w:t>
      </w:r>
    </w:p>
    <w:p>
      <w:pPr>
        <w:pStyle w:val="ListBullet"/>
      </w:pPr>
      <w:r>
        <w:t>Do not silently transform financially or clinically material values.</w:t>
      </w:r>
    </w:p>
    <w:p>
      <w:pPr>
        <w:pStyle w:val="Heading1"/>
      </w:pPr>
      <w:r>
        <w:t>7. Source-of-Truth Behaviour</w:t>
      </w:r>
    </w:p>
    <w:p>
      <w:r>
        <w:t>Integration does not automatically make a source authoritative. The Data &amp; Knowledge Architecture remains the governing layer for source hierarchy.</w:t>
      </w:r>
    </w:p>
    <w:p>
      <w:pPr>
        <w:pStyle w:val="ListBullet"/>
      </w:pPr>
      <w:r>
        <w:t>Current transaction → authoritative transactional system.</w:t>
      </w:r>
    </w:p>
    <w:p>
      <w:pPr>
        <w:pStyle w:val="ListBullet"/>
      </w:pPr>
      <w:r>
        <w:t>Client policy → approved policy/document source.</w:t>
      </w:r>
    </w:p>
    <w:p>
      <w:pPr>
        <w:pStyle w:val="ListBullet"/>
      </w:pPr>
      <w:r>
        <w:t>Historical imported data → identify import timestamp and original source.</w:t>
      </w:r>
    </w:p>
    <w:p>
      <w:pPr>
        <w:pStyle w:val="ListBullet"/>
      </w:pPr>
      <w:r>
        <w:t>Derived analytics → label as derived rather than presenting them as raw facts.</w:t>
      </w:r>
    </w:p>
    <w:p>
      <w:pPr>
        <w:pStyle w:val="ListBullet"/>
      </w:pPr>
      <w:r>
        <w:t>Conflicting systems → apply configured source hierarchy or surface the conflict.</w:t>
      </w:r>
    </w:p>
    <w:p>
      <w:pPr>
        <w:pStyle w:val="Heading1"/>
      </w:pPr>
      <w:r>
        <w:t>8. Database Integration</w:t>
      </w:r>
    </w:p>
    <w:p>
      <w:r>
        <w:t>Direct database access can be useful for legacy systems such as DRM Hope, but it should be isolated behind a controlled data service.</w:t>
      </w:r>
    </w:p>
    <w:p>
      <w:pPr>
        <w:pStyle w:val="ListBullet"/>
      </w:pPr>
      <w:r>
        <w:t>Use read replicas or controlled read accounts where possible.</w:t>
      </w:r>
    </w:p>
    <w:p>
      <w:pPr>
        <w:pStyle w:val="ListBullet"/>
      </w:pPr>
      <w:r>
        <w:t>Restrict accessible schemas/tables.</w:t>
      </w:r>
    </w:p>
    <w:p>
      <w:pPr>
        <w:pStyle w:val="ListBullet"/>
      </w:pPr>
      <w:r>
        <w:t>Avoid embedding raw SQL generation into the conversational layer.</w:t>
      </w:r>
    </w:p>
    <w:p>
      <w:pPr>
        <w:pStyle w:val="ListBullet"/>
      </w:pPr>
      <w:r>
        <w:t>Parameterise queries.</w:t>
      </w:r>
    </w:p>
    <w:p>
      <w:pPr>
        <w:pStyle w:val="ListBullet"/>
      </w:pPr>
      <w:r>
        <w:t>Apply tenant/company/role filters server-side.</w:t>
      </w:r>
    </w:p>
    <w:p>
      <w:pPr>
        <w:pStyle w:val="ListBullet"/>
      </w:pPr>
      <w:r>
        <w:t>Log sensitive access appropriately.</w:t>
      </w:r>
    </w:p>
    <w:p>
      <w:pPr>
        <w:pStyle w:val="ListBullet"/>
      </w:pPr>
      <w:r>
        <w:t>Use migrations/ETL for durable platform data rather than repeatedly querying legacy systems when unnecessary.</w:t>
      </w:r>
    </w:p>
    <w:p>
      <w:pPr>
        <w:pStyle w:val="Heading1"/>
      </w:pPr>
      <w:r>
        <w:t>9. API Integration</w:t>
      </w:r>
    </w:p>
    <w:p>
      <w:r>
        <w:t>API integrations should use explicit contracts and typed request/response models.</w:t>
      </w:r>
    </w:p>
    <w:p>
      <w:pPr>
        <w:pStyle w:val="ListBullet"/>
      </w:pPr>
      <w:r>
        <w:t>Validate request parameters before calling an external API.</w:t>
      </w:r>
    </w:p>
    <w:p>
      <w:pPr>
        <w:pStyle w:val="ListBullet"/>
      </w:pPr>
      <w:r>
        <w:t>Set connection and response timeouts.</w:t>
      </w:r>
    </w:p>
    <w:p>
      <w:pPr>
        <w:pStyle w:val="ListBullet"/>
      </w:pPr>
      <w:r>
        <w:t>Handle authentication centrally.</w:t>
      </w:r>
    </w:p>
    <w:p>
      <w:pPr>
        <w:pStyle w:val="ListBullet"/>
      </w:pPr>
      <w:r>
        <w:t>Use idempotency keys for operations where supported.</w:t>
      </w:r>
    </w:p>
    <w:p>
      <w:pPr>
        <w:pStyle w:val="ListBullet"/>
      </w:pPr>
      <w:r>
        <w:t>Validate external responses before exposing them to Synbot.</w:t>
      </w:r>
    </w:p>
    <w:p>
      <w:pPr>
        <w:pStyle w:val="ListBullet"/>
      </w:pPr>
      <w:r>
        <w:t>Do not expose raw upstream errors to users unless useful.</w:t>
      </w:r>
    </w:p>
    <w:p>
      <w:pPr>
        <w:pStyle w:val="ListBullet"/>
      </w:pPr>
      <w:r>
        <w:t>Version integrations when upstream contracts change.</w:t>
      </w:r>
    </w:p>
    <w:p>
      <w:pPr>
        <w:pStyle w:val="Heading1"/>
      </w:pPr>
      <w:r>
        <w:t>10. Read vs Write Integrations</w:t>
      </w:r>
    </w:p>
    <w:p>
      <w:pPr>
        <w:pStyle w:val="Heading2"/>
      </w:pPr>
      <w:r>
        <w:t>10.1 Read Path</w:t>
      </w:r>
    </w:p>
    <w:p>
      <w:r>
        <w:t>Read operations can generally follow: identify → authorise → retrieve → validate → normalise → answer.</w:t>
      </w:r>
    </w:p>
    <w:p>
      <w:pPr>
        <w:pStyle w:val="Heading2"/>
      </w:pPr>
      <w:r>
        <w:t>10.2 Write Path</w:t>
      </w:r>
    </w:p>
    <w:p>
      <w:r>
        <w:t>Consequential writes require a stricter sequence:</w:t>
      </w:r>
    </w:p>
    <w:p>
      <w:pPr>
        <w:pStyle w:val="ListNumber"/>
      </w:pPr>
      <w:r>
        <w:t>Identify the intended target.</w:t>
      </w:r>
    </w:p>
    <w:p>
      <w:pPr>
        <w:pStyle w:val="ListNumber"/>
      </w:pPr>
      <w:r>
        <w:t>Confirm the user's authority.</w:t>
      </w:r>
    </w:p>
    <w:p>
      <w:pPr>
        <w:pStyle w:val="ListNumber"/>
      </w:pPr>
      <w:r>
        <w:t>Retrieve current state.</w:t>
      </w:r>
    </w:p>
    <w:p>
      <w:pPr>
        <w:pStyle w:val="ListNumber"/>
      </w:pPr>
      <w:r>
        <w:t>Validate business rules.</w:t>
      </w:r>
    </w:p>
    <w:p>
      <w:pPr>
        <w:pStyle w:val="ListNumber"/>
      </w:pPr>
      <w:r>
        <w:t>Present the proposed action when confirmation is required.</w:t>
      </w:r>
    </w:p>
    <w:p>
      <w:pPr>
        <w:pStyle w:val="ListNumber"/>
      </w:pPr>
      <w:r>
        <w:t>Execute through the authorised tool.</w:t>
      </w:r>
    </w:p>
    <w:p>
      <w:pPr>
        <w:pStyle w:val="ListNumber"/>
      </w:pPr>
      <w:r>
        <w:t>Verify the result from the source system.</w:t>
      </w:r>
    </w:p>
    <w:p>
      <w:pPr>
        <w:pStyle w:val="ListNumber"/>
      </w:pPr>
      <w:r>
        <w:t>Record an audit event.</w:t>
      </w:r>
    </w:p>
    <w:p>
      <w:pPr>
        <w:pStyle w:val="ListNumber"/>
      </w:pPr>
      <w:r>
        <w:t>Report the confirmed outcome.</w:t>
      </w:r>
    </w:p>
    <w:p>
      <w:r>
        <w:t>Synbot must never say an action succeeded merely because an API request was sent.</w:t>
      </w:r>
    </w:p>
    <w:p>
      <w:pPr>
        <w:pStyle w:val="Heading1"/>
      </w:pPr>
      <w:r>
        <w:t>11. Idempotency and Duplicate Protection</w:t>
      </w:r>
    </w:p>
    <w:p>
      <w:r>
        <w:t>Financial, inventory, registration, appointment, order, and similar actions must be protected against duplicate execution.</w:t>
      </w:r>
    </w:p>
    <w:p>
      <w:pPr>
        <w:pStyle w:val="ListBullet"/>
      </w:pPr>
      <w:r>
        <w:t>Assign a unique operation/request ID.</w:t>
      </w:r>
    </w:p>
    <w:p>
      <w:pPr>
        <w:pStyle w:val="ListBullet"/>
      </w:pPr>
      <w:r>
        <w:t>Use idempotency keys where the upstream system supports them.</w:t>
      </w:r>
    </w:p>
    <w:p>
      <w:pPr>
        <w:pStyle w:val="ListBullet"/>
      </w:pPr>
      <w:r>
        <w:t>Store execution state for consequential operations.</w:t>
      </w:r>
    </w:p>
    <w:p>
      <w:pPr>
        <w:pStyle w:val="ListBullet"/>
      </w:pPr>
      <w:r>
        <w:t>Detect repeated requests.</w:t>
      </w:r>
    </w:p>
    <w:p>
      <w:pPr>
        <w:pStyle w:val="ListBullet"/>
      </w:pPr>
      <w:r>
        <w:t>Separate 'request accepted' from 'transaction completed'.</w:t>
      </w:r>
    </w:p>
    <w:p>
      <w:pPr>
        <w:pStyle w:val="ListBullet"/>
      </w:pPr>
      <w:r>
        <w:t>Reconcile uncertain outcomes before retrying.</w:t>
      </w:r>
    </w:p>
    <w:p>
      <w:pPr>
        <w:pStyle w:val="Heading1"/>
      </w:pPr>
      <w:r>
        <w:t>12. Retry and Failure Strategy</w:t>
      </w:r>
    </w:p>
    <w:p>
      <w:pPr>
        <w:pStyle w:val="ListBullet"/>
      </w:pPr>
      <w:r>
        <w:t>Retry transient network failures using bounded exponential backoff.</w:t>
      </w:r>
    </w:p>
    <w:p>
      <w:pPr>
        <w:pStyle w:val="ListBullet"/>
      </w:pPr>
      <w:r>
        <w:t>Do not blindly retry non-idempotent writes.</w:t>
      </w:r>
    </w:p>
    <w:p>
      <w:pPr>
        <w:pStyle w:val="ListBullet"/>
      </w:pPr>
      <w:r>
        <w:t>Stop after configured retry limits.</w:t>
      </w:r>
    </w:p>
    <w:p>
      <w:pPr>
        <w:pStyle w:val="ListBullet"/>
      </w:pPr>
      <w:r>
        <w:t>Use circuit-breaking for persistently failing services.</w:t>
      </w:r>
    </w:p>
    <w:p>
      <w:pPr>
        <w:pStyle w:val="ListBullet"/>
      </w:pPr>
      <w:r>
        <w:t>Return a controlled user-facing message.</w:t>
      </w:r>
    </w:p>
    <w:p>
      <w:pPr>
        <w:pStyle w:val="ListBullet"/>
      </w:pPr>
      <w:r>
        <w:t>Record technical details in telemetry rather than exposing implementation noise.</w:t>
      </w:r>
    </w:p>
    <w:p>
      <w:pPr>
        <w:pStyle w:val="ListBullet"/>
      </w:pPr>
      <w:r>
        <w:t>Escalate when the integration failure prevents a consequential action.</w:t>
      </w:r>
    </w:p>
    <w:p>
      <w:pPr>
        <w:pStyle w:val="Heading1"/>
      </w:pPr>
      <w:r>
        <w:t>13. Event-Driven Integration</w:t>
      </w:r>
    </w:p>
    <w:p>
      <w:r>
        <w:t>Use events when systems need near-real-time updates without synchronous coupling.</w:t>
      </w:r>
    </w:p>
    <w:p>
      <w:pPr>
        <w:pStyle w:val="ListBullet"/>
      </w:pPr>
      <w:r>
        <w:t>Webhook received → validate → authenticate → enqueue → process → persist/audit.</w:t>
      </w:r>
    </w:p>
    <w:p>
      <w:pPr>
        <w:pStyle w:val="ListBullet"/>
      </w:pPr>
      <w:r>
        <w:t>Use event IDs for deduplication.</w:t>
      </w:r>
    </w:p>
    <w:p>
      <w:pPr>
        <w:pStyle w:val="ListBullet"/>
      </w:pPr>
      <w:r>
        <w:t>Maintain processing status.</w:t>
      </w:r>
    </w:p>
    <w:p>
      <w:pPr>
        <w:pStyle w:val="ListBullet"/>
      </w:pPr>
      <w:r>
        <w:t>Support replay for recoverable failures.</w:t>
      </w:r>
    </w:p>
    <w:p>
      <w:pPr>
        <w:pStyle w:val="ListBullet"/>
      </w:pPr>
      <w:r>
        <w:t>Keep event consumers independent where possible.</w:t>
      </w:r>
    </w:p>
    <w:p>
      <w:pPr>
        <w:pStyle w:val="ListBullet"/>
      </w:pPr>
      <w:r>
        <w:t>Do not treat event arrival as proof that downstream processing completed.</w:t>
      </w:r>
    </w:p>
    <w:p>
      <w:pPr>
        <w:pStyle w:val="Heading1"/>
      </w:pPr>
      <w:r>
        <w:t>14. ETL and Data Synchronisation</w:t>
      </w:r>
    </w:p>
    <w:p>
      <w:r>
        <w:t>For systems such as DRM Hope or Sage exports, scheduled extraction can be preferable to live querying for analytics and historical intelligence.</w:t>
      </w:r>
    </w:p>
    <w:p>
      <w:r>
        <w:t>Recommended flow:</w:t>
      </w:r>
    </w:p>
    <w:p>
      <w:r>
        <w:t>Extract → Validate → Transform → Quality Check → Load/Staging → Reconcile → Publish → Index/Retrieve</w:t>
      </w:r>
    </w:p>
    <w:p>
      <w:pPr>
        <w:pStyle w:val="ListBullet"/>
      </w:pPr>
      <w:r>
        <w:t>Maintain extraction timestamps.</w:t>
      </w:r>
    </w:p>
    <w:p>
      <w:pPr>
        <w:pStyle w:val="ListBullet"/>
      </w:pPr>
      <w:r>
        <w:t>Track source record counts.</w:t>
      </w:r>
    </w:p>
    <w:p>
      <w:pPr>
        <w:pStyle w:val="ListBullet"/>
      </w:pPr>
      <w:r>
        <w:t>Track rejected/invalid records.</w:t>
      </w:r>
    </w:p>
    <w:p>
      <w:pPr>
        <w:pStyle w:val="ListBullet"/>
      </w:pPr>
      <w:r>
        <w:t>Record transformation version.</w:t>
      </w:r>
    </w:p>
    <w:p>
      <w:pPr>
        <w:pStyle w:val="ListBullet"/>
      </w:pPr>
      <w:r>
        <w:t>Support incremental loads where possible.</w:t>
      </w:r>
    </w:p>
    <w:p>
      <w:pPr>
        <w:pStyle w:val="ListBullet"/>
      </w:pPr>
      <w:r>
        <w:t>Reconcile totals for financially or operationally material datasets.</w:t>
      </w:r>
    </w:p>
    <w:p>
      <w:pPr>
        <w:pStyle w:val="ListBullet"/>
      </w:pPr>
      <w:r>
        <w:t>Never overwrite source data simply to make the Synbot model cleaner.</w:t>
      </w:r>
    </w:p>
    <w:p>
      <w:pPr>
        <w:pStyle w:val="Heading1"/>
      </w:pPr>
      <w:r>
        <w:t>15. n8n and Workflow Integration</w:t>
      </w:r>
    </w:p>
    <w:p>
      <w:r>
        <w:t>n8n can act as an integration/workflow layer, particularly for low-code client automation. Synbot should still own authorisation and business-critical validation.</w:t>
      </w:r>
    </w:p>
    <w:p>
      <w:pPr>
        <w:pStyle w:val="ListBullet"/>
      </w:pPr>
      <w:r>
        <w:t>Synbot decides whether a workflow is permitted and appropriate.</w:t>
      </w:r>
    </w:p>
    <w:p>
      <w:pPr>
        <w:pStyle w:val="ListBullet"/>
      </w:pPr>
      <w:r>
        <w:t>n8n executes configured workflow steps.</w:t>
      </w:r>
    </w:p>
    <w:p>
      <w:pPr>
        <w:pStyle w:val="ListBullet"/>
      </w:pPr>
      <w:r>
        <w:t>Workflow results return through a defined contract.</w:t>
      </w:r>
    </w:p>
    <w:p>
      <w:pPr>
        <w:pStyle w:val="ListBullet"/>
      </w:pPr>
      <w:r>
        <w:t>Sensitive credentials remain in the workflow platform's credential store.</w:t>
      </w:r>
    </w:p>
    <w:p>
      <w:pPr>
        <w:pStyle w:val="ListBullet"/>
      </w:pPr>
      <w:r>
        <w:t>Consequential workflows require confirmation and/or approval according to client configuration.</w:t>
      </w:r>
    </w:p>
    <w:p>
      <w:pPr>
        <w:pStyle w:val="ListBullet"/>
      </w:pPr>
      <w:r>
        <w:t>Record workflow execution IDs for audit and troubleshooting.</w:t>
      </w:r>
    </w:p>
    <w:p>
      <w:pPr>
        <w:pStyle w:val="Heading1"/>
      </w:pPr>
      <w:r>
        <w:t>16. Integration Health and Monitoring</w:t>
      </w:r>
    </w:p>
    <w:p>
      <w:r>
        <w:t>Every production integration should expose operational health.</w:t>
      </w:r>
    </w:p>
    <w:p>
      <w:pPr>
        <w:pStyle w:val="ListBullet"/>
      </w:pPr>
      <w:r>
        <w:t>Connectivity status</w:t>
      </w:r>
    </w:p>
    <w:p>
      <w:pPr>
        <w:pStyle w:val="ListBullet"/>
      </w:pPr>
      <w:r>
        <w:t>Authentication status</w:t>
      </w:r>
    </w:p>
    <w:p>
      <w:pPr>
        <w:pStyle w:val="ListBullet"/>
      </w:pPr>
      <w:r>
        <w:t>Last successful call</w:t>
      </w:r>
    </w:p>
    <w:p>
      <w:pPr>
        <w:pStyle w:val="ListBullet"/>
      </w:pPr>
      <w:r>
        <w:t>Last failed call</w:t>
      </w:r>
    </w:p>
    <w:p>
      <w:pPr>
        <w:pStyle w:val="ListBullet"/>
      </w:pPr>
      <w:r>
        <w:t>Latency</w:t>
      </w:r>
    </w:p>
    <w:p>
      <w:pPr>
        <w:pStyle w:val="ListBullet"/>
      </w:pPr>
      <w:r>
        <w:t>Error rate</w:t>
      </w:r>
    </w:p>
    <w:p>
      <w:pPr>
        <w:pStyle w:val="ListBullet"/>
      </w:pPr>
      <w:r>
        <w:t>Queue/backlog where applicable</w:t>
      </w:r>
    </w:p>
    <w:p>
      <w:pPr>
        <w:pStyle w:val="ListBullet"/>
      </w:pPr>
      <w:r>
        <w:t>Data freshness</w:t>
      </w:r>
    </w:p>
    <w:p>
      <w:pPr>
        <w:pStyle w:val="ListBullet"/>
      </w:pPr>
      <w:r>
        <w:t>Last successful synchronisation</w:t>
      </w:r>
    </w:p>
    <w:p>
      <w:pPr>
        <w:pStyle w:val="ListBullet"/>
      </w:pPr>
      <w:r>
        <w:t>Schema/contract version</w:t>
      </w:r>
    </w:p>
    <w:p>
      <w:r>
        <w:t>A failed integration should degrade gracefully rather than making the entire Synbot unavailable.</w:t>
      </w:r>
    </w:p>
    <w:p>
      <w:pPr>
        <w:pStyle w:val="Heading1"/>
      </w:pPr>
      <w:r>
        <w:t>17. Security Boundary</w:t>
      </w:r>
    </w:p>
    <w:p>
      <w:r>
        <w:t>The integration layer is part of the security boundary.</w:t>
      </w:r>
    </w:p>
    <w:p>
      <w:pPr>
        <w:pStyle w:val="ListBullet"/>
      </w:pPr>
      <w:r>
        <w:t>Credentials are never placed in prompts.</w:t>
      </w:r>
    </w:p>
    <w:p>
      <w:pPr>
        <w:pStyle w:val="ListBullet"/>
      </w:pPr>
      <w:r>
        <w:t>Secrets are stored in a secrets manager/environment configuration.</w:t>
      </w:r>
    </w:p>
    <w:p>
      <w:pPr>
        <w:pStyle w:val="ListBullet"/>
      </w:pPr>
      <w:r>
        <w:t>External calls are made by controlled backend services.</w:t>
      </w:r>
    </w:p>
    <w:p>
      <w:pPr>
        <w:pStyle w:val="ListBullet"/>
      </w:pPr>
      <w:r>
        <w:t>LLM output cannot directly choose arbitrary endpoints or credentials.</w:t>
      </w:r>
    </w:p>
    <w:p>
      <w:pPr>
        <w:pStyle w:val="ListBullet"/>
      </w:pPr>
      <w:r>
        <w:t>Allowlist integrations and operations.</w:t>
      </w:r>
    </w:p>
    <w:p>
      <w:pPr>
        <w:pStyle w:val="ListBullet"/>
      </w:pPr>
      <w:r>
        <w:t>Enforce authorisation before tool execution.</w:t>
      </w:r>
    </w:p>
    <w:p>
      <w:pPr>
        <w:pStyle w:val="ListBullet"/>
      </w:pPr>
      <w:r>
        <w:t>Apply company and tenant filters server-side.</w:t>
      </w:r>
    </w:p>
    <w:p>
      <w:pPr>
        <w:pStyle w:val="ListBullet"/>
      </w:pPr>
      <w:r>
        <w:t>Audit high-risk integration actions.</w:t>
      </w:r>
    </w:p>
    <w:p>
      <w:pPr>
        <w:pStyle w:val="Heading1"/>
      </w:pPr>
      <w:r>
        <w:t>18. Multi-Tenant and Multi-Company Integration</w:t>
      </w:r>
    </w:p>
    <w:p>
      <w:r>
        <w:t>For Atiat and similar environments, integration context must travel with every request.</w:t>
      </w:r>
    </w:p>
    <w:p>
      <w:r>
        <w:t>Minimum runtime context:</w:t>
      </w:r>
    </w:p>
    <w:p>
      <w:pPr>
        <w:pStyle w:val="ListBullet"/>
      </w:pPr>
      <w:r>
        <w:t>tenant_id</w:t>
      </w:r>
    </w:p>
    <w:p>
      <w:pPr>
        <w:pStyle w:val="ListBullet"/>
      </w:pPr>
      <w:r>
        <w:t>company_id</w:t>
      </w:r>
    </w:p>
    <w:p>
      <w:pPr>
        <w:pStyle w:val="ListBullet"/>
      </w:pPr>
      <w:r>
        <w:t>user_id</w:t>
      </w:r>
    </w:p>
    <w:p>
      <w:pPr>
        <w:pStyle w:val="ListBullet"/>
      </w:pPr>
      <w:r>
        <w:t>role</w:t>
      </w:r>
    </w:p>
    <w:p>
      <w:pPr>
        <w:pStyle w:val="ListBullet"/>
      </w:pPr>
      <w:r>
        <w:t>permissions</w:t>
      </w:r>
    </w:p>
    <w:p>
      <w:pPr>
        <w:pStyle w:val="ListBullet"/>
      </w:pPr>
      <w:r>
        <w:t>integration scope</w:t>
      </w:r>
    </w:p>
    <w:p>
      <w:pPr>
        <w:pStyle w:val="ListBullet"/>
      </w:pPr>
      <w:r>
        <w:t>session/request ID</w:t>
      </w:r>
    </w:p>
    <w:p>
      <w:r>
        <w:t>A company switch must change the permitted integration scope. Synbot must not reuse an integration context from another company.</w:t>
      </w:r>
    </w:p>
    <w:p>
      <w:pPr>
        <w:pStyle w:val="Heading1"/>
      </w:pPr>
      <w:r>
        <w:t>19. Integration Registry</w:t>
      </w:r>
    </w:p>
    <w:p>
      <w:r>
        <w:t>Synbot should maintain a machine-readable registry rather than hard-coding integrations across the application.</w:t>
      </w:r>
    </w:p>
    <w:p>
      <w:r>
        <w:t>Illustrative structure:</w:t>
      </w:r>
    </w:p>
    <w:p>
      <w:r>
        <w:t>{</w:t>
        <w:br/>
        <w:t xml:space="preserve">  "integration_id": "placeware_sage",</w:t>
        <w:br/>
        <w:t xml:space="preserve">  "system": "Sage 50",</w:t>
        <w:br/>
        <w:t xml:space="preserve">  "version": "2013",</w:t>
        <w:br/>
        <w:t xml:space="preserve">  "adapter": "sage_adapter",</w:t>
        <w:br/>
        <w:t xml:space="preserve">  "capabilities": [</w:t>
        <w:br/>
        <w:t xml:space="preserve">    "inventory.read",</w:t>
        <w:br/>
        <w:t xml:space="preserve">    "sales.read",</w:t>
        <w:br/>
        <w:t xml:space="preserve">    "customer_balance.read"</w:t>
        <w:br/>
        <w:t xml:space="preserve">  ],</w:t>
        <w:br/>
        <w:t xml:space="preserve">  "write_enabled": false,</w:t>
        <w:br/>
        <w:t xml:space="preserve">  "source_authority": "transactional",</w:t>
        <w:br/>
        <w:t xml:space="preserve">  "healthcheck": true</w:t>
        <w:br/>
        <w:t>}</w:t>
      </w:r>
    </w:p>
    <w:p>
      <w:pPr>
        <w:pStyle w:val="Heading1"/>
      </w:pPr>
      <w:r>
        <w:t>20. Placeware / Sage Example</w:t>
      </w:r>
    </w:p>
    <w:p>
      <w:pPr>
        <w:pStyle w:val="ListBullet"/>
      </w:pPr>
      <w:r>
        <w:t>Sage 50 remains the transactional source for applicable inventory, sales, receivables and accounting records.</w:t>
      </w:r>
    </w:p>
    <w:p>
      <w:pPr>
        <w:pStyle w:val="ListBullet"/>
      </w:pPr>
      <w:r>
        <w:t>Sage adapter exposes narrow business operations rather than raw database structures.</w:t>
      </w:r>
    </w:p>
    <w:p>
      <w:pPr>
        <w:pStyle w:val="ListBullet"/>
      </w:pPr>
      <w:r>
        <w:t>Inventory questions use structured Sage data where available.</w:t>
      </w:r>
    </w:p>
    <w:p>
      <w:pPr>
        <w:pStyle w:val="ListBullet"/>
      </w:pPr>
      <w:r>
        <w:t>Policies/manuals use RAG.</w:t>
      </w:r>
    </w:p>
    <w:p>
      <w:pPr>
        <w:pStyle w:val="ListBullet"/>
      </w:pPr>
      <w:r>
        <w:t>Stock adjustments, returns, recalls or accounting-affecting actions use controlled workflows.</w:t>
      </w:r>
    </w:p>
    <w:p>
      <w:pPr>
        <w:pStyle w:val="ListBullet"/>
      </w:pPr>
      <w:r>
        <w:t>Uncertain Sage extraction or unavailable reports must be surfaced rather than inferred.</w:t>
      </w:r>
    </w:p>
    <w:p>
      <w:pPr>
        <w:pStyle w:val="Heading1"/>
      </w:pPr>
      <w:r>
        <w:t>21. Synbot Health Example</w:t>
      </w:r>
    </w:p>
    <w:p>
      <w:pPr>
        <w:pStyle w:val="ListBullet"/>
      </w:pPr>
      <w:r>
        <w:t>DRM Hope/MySQL can remain an upstream legacy source during migration.</w:t>
      </w:r>
    </w:p>
    <w:p>
      <w:pPr>
        <w:pStyle w:val="ListBullet"/>
      </w:pPr>
      <w:r>
        <w:t>A Health Data Service normalises patient, encounter, laboratory, prescription and billing information.</w:t>
      </w:r>
    </w:p>
    <w:p>
      <w:pPr>
        <w:pStyle w:val="ListBullet"/>
      </w:pPr>
      <w:r>
        <w:t>Clinical records remain source-bound and permission-controlled.</w:t>
      </w:r>
    </w:p>
    <w:p>
      <w:pPr>
        <w:pStyle w:val="ListBullet"/>
      </w:pPr>
      <w:r>
        <w:t>Device integration should pass through a medical interoperability layer where required.</w:t>
      </w:r>
    </w:p>
    <w:p>
      <w:pPr>
        <w:pStyle w:val="ListBullet"/>
      </w:pPr>
      <w:r>
        <w:t>Migration pipelines should preserve lineage from DRM Hope to Synbot.</w:t>
      </w:r>
    </w:p>
    <w:p>
      <w:pPr>
        <w:pStyle w:val="Heading1"/>
      </w:pPr>
      <w:r>
        <w:t>22. Atiat Example</w:t>
      </w:r>
    </w:p>
    <w:p>
      <w:r>
        <w:t>Atiat should use one integration framework with company-specific adapters and permissions.</w:t>
      </w:r>
    </w:p>
    <w:p>
      <w:pPr>
        <w:pStyle w:val="ListBullet"/>
      </w:pPr>
      <w:r>
        <w:t>Mobility company → rides/booking/status integrations.</w:t>
      </w:r>
    </w:p>
    <w:p>
      <w:pPr>
        <w:pStyle w:val="ListBullet"/>
      </w:pPr>
      <w:r>
        <w:t>Insurance company → policy/claim/customer integrations.</w:t>
      </w:r>
    </w:p>
    <w:p>
      <w:pPr>
        <w:pStyle w:val="ListBullet"/>
      </w:pPr>
      <w:r>
        <w:t>Proof-of-funds/document service → document and verification workflows.</w:t>
      </w:r>
    </w:p>
    <w:p>
      <w:pPr>
        <w:pStyle w:val="ListBullet"/>
      </w:pPr>
      <w:r>
        <w:t>Shared Atiat services → identity, customer context, notifications and audit.</w:t>
      </w:r>
    </w:p>
    <w:p>
      <w:pPr>
        <w:pStyle w:val="ListBullet"/>
      </w:pPr>
      <w:r>
        <w:t>Company selector → determines active company context and allowed integrations.</w:t>
      </w:r>
    </w:p>
    <w:p>
      <w:pPr>
        <w:pStyle w:val="ListBullet"/>
      </w:pPr>
      <w:r>
        <w:t>Central Synbot → presents one conversational experience while routing to the correct backend capability.</w:t>
      </w:r>
    </w:p>
    <w:p>
      <w:pPr>
        <w:pStyle w:val="Heading1"/>
      </w:pPr>
      <w:r>
        <w:t>23. Integration Versioning</w:t>
      </w:r>
    </w:p>
    <w:p>
      <w:r>
        <w:t>Integrations should be independently versioned from the Synbot conversational core.</w:t>
      </w:r>
    </w:p>
    <w:p>
      <w:pPr>
        <w:pStyle w:val="ListBullet"/>
      </w:pPr>
      <w:r>
        <w:t>Adapter version</w:t>
      </w:r>
    </w:p>
    <w:p>
      <w:pPr>
        <w:pStyle w:val="ListBullet"/>
      </w:pPr>
      <w:r>
        <w:t>External API version</w:t>
      </w:r>
    </w:p>
    <w:p>
      <w:pPr>
        <w:pStyle w:val="ListBullet"/>
      </w:pPr>
      <w:r>
        <w:t>Data contract version</w:t>
      </w:r>
    </w:p>
    <w:p>
      <w:pPr>
        <w:pStyle w:val="ListBullet"/>
      </w:pPr>
      <w:r>
        <w:t>Workflow version</w:t>
      </w:r>
    </w:p>
    <w:p>
      <w:pPr>
        <w:pStyle w:val="ListBullet"/>
      </w:pPr>
      <w:r>
        <w:t>Prompt/domain version where relevant</w:t>
      </w:r>
    </w:p>
    <w:p>
      <w:r>
        <w:t>A change to an external system should not automatically require a global Synbot release.</w:t>
      </w:r>
    </w:p>
    <w:p>
      <w:pPr>
        <w:pStyle w:val="Heading1"/>
      </w:pPr>
      <w:r>
        <w:t>24. Testing Strategy</w:t>
      </w:r>
    </w:p>
    <w:p>
      <w:pPr>
        <w:pStyle w:val="ListBullet"/>
      </w:pPr>
      <w:r>
        <w:t>Connectivity tests</w:t>
      </w:r>
    </w:p>
    <w:p>
      <w:pPr>
        <w:pStyle w:val="ListBullet"/>
      </w:pPr>
      <w:r>
        <w:t>Authentication tests</w:t>
      </w:r>
    </w:p>
    <w:p>
      <w:pPr>
        <w:pStyle w:val="ListBullet"/>
      </w:pPr>
      <w:r>
        <w:t>Contract/schema tests</w:t>
      </w:r>
    </w:p>
    <w:p>
      <w:pPr>
        <w:pStyle w:val="ListBullet"/>
      </w:pPr>
      <w:r>
        <w:t>Normalisation tests</w:t>
      </w:r>
    </w:p>
    <w:p>
      <w:pPr>
        <w:pStyle w:val="ListBullet"/>
      </w:pPr>
      <w:r>
        <w:t>Permission tests</w:t>
      </w:r>
    </w:p>
    <w:p>
      <w:pPr>
        <w:pStyle w:val="ListBullet"/>
      </w:pPr>
      <w:r>
        <w:t>Tenant/company isolation tests</w:t>
      </w:r>
    </w:p>
    <w:p>
      <w:pPr>
        <w:pStyle w:val="ListBullet"/>
      </w:pPr>
      <w:r>
        <w:t>Idempotency tests</w:t>
      </w:r>
    </w:p>
    <w:p>
      <w:pPr>
        <w:pStyle w:val="ListBullet"/>
      </w:pPr>
      <w:r>
        <w:t>Failure/retry tests</w:t>
      </w:r>
    </w:p>
    <w:p>
      <w:pPr>
        <w:pStyle w:val="ListBullet"/>
      </w:pPr>
      <w:r>
        <w:t>Data reconciliation tests</w:t>
      </w:r>
    </w:p>
    <w:p>
      <w:pPr>
        <w:pStyle w:val="ListBullet"/>
      </w:pPr>
      <w:r>
        <w:t>End-to-end workflow tests</w:t>
      </w:r>
    </w:p>
    <w:p>
      <w:pPr>
        <w:pStyle w:val="ListBullet"/>
      </w:pPr>
      <w:r>
        <w:t>Regression tests against golden Synbot cases</w:t>
      </w:r>
    </w:p>
    <w:p>
      <w:pPr>
        <w:pStyle w:val="Heading1"/>
      </w:pPr>
      <w:r>
        <w:t>25. Integration Observability</w:t>
      </w:r>
    </w:p>
    <w:p>
      <w:r>
        <w:t>Every integration call should produce structured telemetry where appropriate:</w:t>
      </w:r>
    </w:p>
    <w:p>
      <w:pPr>
        <w:pStyle w:val="ListBullet"/>
      </w:pPr>
      <w:r>
        <w:t>request_id</w:t>
      </w:r>
    </w:p>
    <w:p>
      <w:pPr>
        <w:pStyle w:val="ListBullet"/>
      </w:pPr>
      <w:r>
        <w:t>tenant_id/company_id</w:t>
      </w:r>
    </w:p>
    <w:p>
      <w:pPr>
        <w:pStyle w:val="ListBullet"/>
      </w:pPr>
      <w:r>
        <w:t>user/role context where permitted</w:t>
      </w:r>
    </w:p>
    <w:p>
      <w:pPr>
        <w:pStyle w:val="ListBullet"/>
      </w:pPr>
      <w:r>
        <w:t>integration_id</w:t>
      </w:r>
    </w:p>
    <w:p>
      <w:pPr>
        <w:pStyle w:val="ListBullet"/>
      </w:pPr>
      <w:r>
        <w:t>operation</w:t>
      </w:r>
    </w:p>
    <w:p>
      <w:pPr>
        <w:pStyle w:val="ListBullet"/>
      </w:pPr>
      <w:r>
        <w:t>timestamp</w:t>
      </w:r>
    </w:p>
    <w:p>
      <w:pPr>
        <w:pStyle w:val="ListBullet"/>
      </w:pPr>
      <w:r>
        <w:t>latency</w:t>
      </w:r>
    </w:p>
    <w:p>
      <w:pPr>
        <w:pStyle w:val="ListBullet"/>
      </w:pPr>
      <w:r>
        <w:t>success/failure</w:t>
      </w:r>
    </w:p>
    <w:p>
      <w:pPr>
        <w:pStyle w:val="ListBullet"/>
      </w:pPr>
      <w:r>
        <w:t>upstream status</w:t>
      </w:r>
    </w:p>
    <w:p>
      <w:pPr>
        <w:pStyle w:val="ListBullet"/>
      </w:pPr>
      <w:r>
        <w:t>retry count</w:t>
      </w:r>
    </w:p>
    <w:p>
      <w:pPr>
        <w:pStyle w:val="ListBullet"/>
      </w:pPr>
      <w:r>
        <w:t>correlation ID</w:t>
      </w:r>
    </w:p>
    <w:p>
      <w:pPr>
        <w:pStyle w:val="ListBullet"/>
      </w:pPr>
      <w:r>
        <w:t>result classification</w:t>
      </w:r>
    </w:p>
    <w:p>
      <w:r>
        <w:t>Sensitive payloads should not be indiscriminately logged.</w:t>
      </w:r>
    </w:p>
    <w:p>
      <w:pPr>
        <w:pStyle w:val="Heading1"/>
      </w:pPr>
      <w:r>
        <w:t>26. Latency Architecture</w:t>
      </w:r>
    </w:p>
    <w:p>
      <w:r>
        <w:t>Integration latency is a major contributor to perceived Synbot response time.</w:t>
      </w:r>
    </w:p>
    <w:p>
      <w:pPr>
        <w:pStyle w:val="ListBullet"/>
      </w:pPr>
      <w:r>
        <w:t>Use parallel reads when operations are independent.</w:t>
      </w:r>
    </w:p>
    <w:p>
      <w:pPr>
        <w:pStyle w:val="ListBullet"/>
      </w:pPr>
      <w:r>
        <w:t>Cache stable reference data.</w:t>
      </w:r>
    </w:p>
    <w:p>
      <w:pPr>
        <w:pStyle w:val="ListBullet"/>
      </w:pPr>
      <w:r>
        <w:t>Precompute expensive analytics.</w:t>
      </w:r>
    </w:p>
    <w:p>
      <w:pPr>
        <w:pStyle w:val="ListBullet"/>
      </w:pPr>
      <w:r>
        <w:t>Use asynchronous processing for long-running workflows.</w:t>
      </w:r>
    </w:p>
    <w:p>
      <w:pPr>
        <w:pStyle w:val="ListBullet"/>
      </w:pPr>
      <w:r>
        <w:t>Stream user-facing responses where appropriate without pretending the final result is available.</w:t>
      </w:r>
    </w:p>
    <w:p>
      <w:pPr>
        <w:pStyle w:val="ListBullet"/>
      </w:pPr>
      <w:r>
        <w:t>Keep the fast path narrow.</w:t>
      </w:r>
    </w:p>
    <w:p>
      <w:pPr>
        <w:pStyle w:val="ListBullet"/>
      </w:pPr>
      <w:r>
        <w:t>Use a deep path only when the question requires multiple sources or complex reasoning.</w:t>
      </w:r>
    </w:p>
    <w:p>
      <w:pPr>
        <w:pStyle w:val="Heading1"/>
      </w:pPr>
      <w:r>
        <w:t>27. Integration Anti-Patterns</w:t>
      </w:r>
    </w:p>
    <w:p>
      <w:pPr>
        <w:pStyle w:val="ListBullet"/>
      </w:pPr>
      <w:r>
        <w:t>LLM directly connecting to arbitrary databases.</w:t>
      </w:r>
    </w:p>
    <w:p>
      <w:pPr>
        <w:pStyle w:val="ListBullet"/>
      </w:pPr>
      <w:r>
        <w:t>Putting vendor-specific schemas into prompts.</w:t>
      </w:r>
    </w:p>
    <w:p>
      <w:pPr>
        <w:pStyle w:val="ListBullet"/>
      </w:pPr>
      <w:r>
        <w:t>One giant integration service containing every client's business logic.</w:t>
      </w:r>
    </w:p>
    <w:p>
      <w:pPr>
        <w:pStyle w:val="ListBullet"/>
      </w:pPr>
      <w:r>
        <w:t>Allowing the model to invent API parameters.</w:t>
      </w:r>
    </w:p>
    <w:p>
      <w:pPr>
        <w:pStyle w:val="ListBullet"/>
      </w:pPr>
      <w:r>
        <w:t>Retrying financial writes blindly.</w:t>
      </w:r>
    </w:p>
    <w:p>
      <w:pPr>
        <w:pStyle w:val="ListBullet"/>
      </w:pPr>
      <w:r>
        <w:t>Mixing data from subsidiaries.</w:t>
      </w:r>
    </w:p>
    <w:p>
      <w:pPr>
        <w:pStyle w:val="ListBullet"/>
      </w:pPr>
      <w:r>
        <w:t>Treating a successful HTTP response as proof of business success.</w:t>
      </w:r>
    </w:p>
    <w:p>
      <w:pPr>
        <w:pStyle w:val="ListBullet"/>
      </w:pPr>
      <w:r>
        <w:t>Using vector search as the source of truth for live transactions.</w:t>
      </w:r>
    </w:p>
    <w:p>
      <w:pPr>
        <w:pStyle w:val="ListBullet"/>
      </w:pPr>
      <w:r>
        <w:t>Logging credentials or sensitive payloads.</w:t>
      </w:r>
    </w:p>
    <w:p>
      <w:pPr>
        <w:pStyle w:val="ListBullet"/>
      </w:pPr>
      <w:r>
        <w:t>Making every integration synchronous.</w:t>
      </w:r>
    </w:p>
    <w:p>
      <w:pPr>
        <w:pStyle w:val="Heading1"/>
      </w:pPr>
      <w:r>
        <w:t>28. Recommended Implementation Order</w:t>
      </w:r>
    </w:p>
    <w:p>
      <w:pPr>
        <w:pStyle w:val="ListNumber"/>
      </w:pPr>
      <w:r>
        <w:t>Create the integration contract and registry.</w:t>
      </w:r>
    </w:p>
    <w:p>
      <w:pPr>
        <w:pStyle w:val="ListNumber"/>
      </w:pPr>
      <w:r>
        <w:t>Build a shared Integration Service.</w:t>
      </w:r>
    </w:p>
    <w:p>
      <w:pPr>
        <w:pStyle w:val="ListNumber"/>
      </w:pPr>
      <w:r>
        <w:t>Build the first adapter around an existing Synbot integration.</w:t>
      </w:r>
    </w:p>
    <w:p>
      <w:pPr>
        <w:pStyle w:val="ListNumber"/>
      </w:pPr>
      <w:r>
        <w:t>Add normalisation and source metadata.</w:t>
      </w:r>
    </w:p>
    <w:p>
      <w:pPr>
        <w:pStyle w:val="ListNumber"/>
      </w:pPr>
      <w:r>
        <w:t>Add health checks, telemetry and failure handling.</w:t>
      </w:r>
    </w:p>
    <w:p>
      <w:pPr>
        <w:pStyle w:val="ListNumber"/>
      </w:pPr>
      <w:r>
        <w:t>Add read/write permission gates.</w:t>
      </w:r>
    </w:p>
    <w:p>
      <w:pPr>
        <w:pStyle w:val="ListNumber"/>
      </w:pPr>
      <w:r>
        <w:t>Add idempotency and audit for consequential actions.</w:t>
      </w:r>
    </w:p>
    <w:p>
      <w:pPr>
        <w:pStyle w:val="ListNumber"/>
      </w:pPr>
      <w:r>
        <w:t>Introduce event/webhook processing.</w:t>
      </w:r>
    </w:p>
    <w:p>
      <w:pPr>
        <w:pStyle w:val="ListNumber"/>
      </w:pPr>
      <w:r>
        <w:t>Standardise ETL/synchronisation patterns.</w:t>
      </w:r>
    </w:p>
    <w:p>
      <w:pPr>
        <w:pStyle w:val="ListNumber"/>
      </w:pPr>
      <w:r>
        <w:t>Move client-specific integrations into configuration and adapters.</w:t>
      </w:r>
    </w:p>
    <w:p>
      <w:pPr>
        <w:pStyle w:val="Heading1"/>
      </w:pPr>
      <w:r>
        <w:t>29. Definition of Done</w:t>
      </w:r>
    </w:p>
    <w:p>
      <w:pPr>
        <w:pStyle w:val="ListBullet"/>
      </w:pPr>
      <w:r>
        <w:t>Every production system has a named integration contract.</w:t>
      </w:r>
    </w:p>
    <w:p>
      <w:pPr>
        <w:pStyle w:val="ListBullet"/>
      </w:pPr>
      <w:r>
        <w:t>Credentials are isolated from prompts and frontend code.</w:t>
      </w:r>
    </w:p>
    <w:p>
      <w:pPr>
        <w:pStyle w:val="ListBullet"/>
      </w:pPr>
      <w:r>
        <w:t>Every operation has explicit permissions.</w:t>
      </w:r>
    </w:p>
    <w:p>
      <w:pPr>
        <w:pStyle w:val="ListBullet"/>
      </w:pPr>
      <w:r>
        <w:t>Read and write capabilities are separated.</w:t>
      </w:r>
    </w:p>
    <w:p>
      <w:pPr>
        <w:pStyle w:val="ListBullet"/>
      </w:pPr>
      <w:r>
        <w:t>Consequential writes are verified after execution.</w:t>
      </w:r>
    </w:p>
    <w:p>
      <w:pPr>
        <w:pStyle w:val="ListBullet"/>
      </w:pPr>
      <w:r>
        <w:t>Failures are observable and user-safe.</w:t>
      </w:r>
    </w:p>
    <w:p>
      <w:pPr>
        <w:pStyle w:val="ListBullet"/>
      </w:pPr>
      <w:r>
        <w:t>Tenant/company boundaries are enforced server-side.</w:t>
      </w:r>
    </w:p>
    <w:p>
      <w:pPr>
        <w:pStyle w:val="ListBullet"/>
      </w:pPr>
      <w:r>
        <w:t>Data lineage and source authority are preserved.</w:t>
      </w:r>
    </w:p>
    <w:p>
      <w:pPr>
        <w:pStyle w:val="ListBullet"/>
      </w:pPr>
      <w:r>
        <w:t>Integrations can be replaced without rewriting Synbot core.</w:t>
      </w:r>
    </w:p>
    <w:p>
      <w:pPr>
        <w:pStyle w:val="ListBullet"/>
      </w:pPr>
      <w:r>
        <w:t>Integration tests are part of release gates.</w:t>
      </w:r>
    </w:p>
    <w:p>
      <w:pPr>
        <w:pStyle w:val="Heading1"/>
      </w:pPr>
      <w:r>
        <w:t>30. Final Architecture Position</w:t>
      </w:r>
    </w:p>
    <w:p>
      <w:r>
        <w:t>Synbot should not become the system of record simply because it can talk to a system of record. Its role is to understand the user's request, determine the appropriate authorised source or action, obtain or execute through a controlled integration, validate the result, and communicate it naturally.</w:t>
      </w:r>
    </w:p>
    <w:p>
      <w:r>
        <w:t>The long-term target is a connector ecosystem: one Synbot core, one governed integration contract, many replaceable adapters.</w:t>
      </w:r>
    </w:p>
    <w:p>
      <w:r>
        <w:t>Key principle: “Connect everything. Couple nothing unnecessarily.”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Synbot Integration &amp; Systems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