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SYNBOT</w:t>
        <w:br/>
        <w:t>INTELLIGENCE &amp; GROUNDING FRAMEWORK</w:t>
      </w:r>
    </w:p>
    <w:p>
      <w:pPr>
        <w:jc w:val="center"/>
      </w:pPr>
      <w:r>
        <w:t>Version 1.0  |  Source Selection, RAG, Tools &amp; Response Grounding</w:t>
      </w:r>
    </w:p>
    <w:p>
      <w:pPr>
        <w:jc w:val="center"/>
      </w:pPr>
      <w:r>
        <w:t>The decision layer that determines where a Synbot answer should come from.</w:t>
      </w:r>
    </w:p>
    <w:p>
      <w:pPr>
        <w:pStyle w:val="Heading1"/>
      </w:pPr>
      <w:r>
        <w:t>1. Purpose</w:t>
      </w:r>
    </w:p>
    <w:p>
      <w:r>
        <w:t>This document defines how Synbot should decide what information source to use before producing a response. Its purpose is to make the conversational confidence established in Documents 01 and 02 technically meaningful: Synbot should sound assured because it has selected the right evidence, not because the language model has produced persuasive wording.</w:t>
      </w:r>
    </w:p>
    <w:p>
      <w:r>
        <w:t>The framework is designed as a reusable template. Each deployment supplies its own domain sources, tools, permissions and source-of-truth hierarchy without changing the universal decision logic.</w:t>
      </w:r>
    </w:p>
    <w:p>
      <w:pPr>
        <w:pStyle w:val="Heading1"/>
      </w:pPr>
      <w:r>
        <w:t>2. Core Principle</w:t>
      </w:r>
    </w:p>
    <w:p>
      <w:r>
        <w:rPr>
          <w:b/>
        </w:rPr>
        <w:t>The LLM should interpret and communicate evidence; it should not be the default source of current enterprise facts.</w:t>
      </w:r>
    </w:p>
    <w:p>
      <w:r>
        <w:t>For many enterprise questions, the most reliable architecture is an augmented LLM: the model is connected to retrieval, tools and memory as needed. Current agent guidance also recommends starting with the simplest architecture that meets the requirement and adding agentic complexity only when it provides measurable value. citeturn0search2turn0search3</w:t>
      </w:r>
    </w:p>
    <w:p>
      <w:pPr>
        <w:pStyle w:val="Heading1"/>
      </w:pPr>
      <w:r>
        <w:t>3. Synbot Source Hierarchy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Priority</w:t>
            </w:r>
          </w:p>
        </w:tc>
        <w:tc>
          <w:tcPr>
            <w:tcW w:type="dxa" w:w="2484"/>
          </w:tcPr>
          <w:p>
            <w:r>
              <w:t>Source</w:t>
            </w:r>
          </w:p>
        </w:tc>
        <w:tc>
          <w:tcPr>
            <w:tcW w:type="dxa" w:w="2484"/>
          </w:tcPr>
          <w:p>
            <w:r>
              <w:t>Use</w:t>
            </w:r>
          </w:p>
        </w:tc>
        <w:tc>
          <w:tcPr>
            <w:tcW w:type="dxa" w:w="2484"/>
          </w:tcPr>
          <w:p>
            <w:r>
              <w:t>Examples</w:t>
            </w:r>
          </w:p>
        </w:tc>
      </w:tr>
      <w:tr>
        <w:tc>
          <w:tcPr>
            <w:tcW w:type="dxa" w:w="2484"/>
          </w:tcPr>
          <w:p>
            <w:r>
              <w:t>1</w:t>
            </w:r>
          </w:p>
        </w:tc>
        <w:tc>
          <w:tcPr>
            <w:tcW w:type="dxa" w:w="2484"/>
          </w:tcPr>
          <w:p>
            <w:r>
              <w:t>Live transactional source</w:t>
            </w:r>
          </w:p>
        </w:tc>
        <w:tc>
          <w:tcPr>
            <w:tcW w:type="dxa" w:w="2484"/>
          </w:tcPr>
          <w:p>
            <w:r>
              <w:t>Current DB, API, ERP, HIS, accounting or operational system</w:t>
            </w:r>
          </w:p>
        </w:tc>
        <w:tc>
          <w:tcPr>
            <w:tcW w:type="dxa" w:w="2484"/>
          </w:tcPr>
          <w:p>
            <w:r>
              <w:t>Current balances, statuses, appointments, inventory, transactions</w:t>
            </w:r>
          </w:p>
        </w:tc>
      </w:tr>
      <w:tr>
        <w:tc>
          <w:tcPr>
            <w:tcW w:type="dxa" w:w="2484"/>
          </w:tcPr>
          <w:p>
            <w:r>
              <w:t>2</w:t>
            </w:r>
          </w:p>
        </w:tc>
        <w:tc>
          <w:tcPr>
            <w:tcW w:type="dxa" w:w="2484"/>
          </w:tcPr>
          <w:p>
            <w:r>
              <w:t>Authoritative client records</w:t>
            </w:r>
          </w:p>
        </w:tc>
        <w:tc>
          <w:tcPr>
            <w:tcW w:type="dxa" w:w="2484"/>
          </w:tcPr>
          <w:p>
            <w:r>
              <w:t>Approved internal records and controlled datasets</w:t>
            </w:r>
          </w:p>
        </w:tc>
        <w:tc>
          <w:tcPr>
            <w:tcW w:type="dxa" w:w="2484"/>
          </w:tcPr>
          <w:p>
            <w:r>
              <w:t>Customer records, master data, approved internal facts</w:t>
            </w:r>
          </w:p>
        </w:tc>
      </w:tr>
      <w:tr>
        <w:tc>
          <w:tcPr>
            <w:tcW w:type="dxa" w:w="2484"/>
          </w:tcPr>
          <w:p>
            <w:r>
              <w:t>3</w:t>
            </w:r>
          </w:p>
        </w:tc>
        <w:tc>
          <w:tcPr>
            <w:tcW w:type="dxa" w:w="2484"/>
          </w:tcPr>
          <w:p>
            <w:r>
              <w:t>Approved client documents</w:t>
            </w:r>
          </w:p>
        </w:tc>
        <w:tc>
          <w:tcPr>
            <w:tcW w:type="dxa" w:w="2484"/>
          </w:tcPr>
          <w:p>
            <w:r>
              <w:t>Policies, SOPs, manuals, contracts, product documentation</w:t>
            </w:r>
          </w:p>
        </w:tc>
        <w:tc>
          <w:tcPr>
            <w:tcW w:type="dxa" w:w="2484"/>
          </w:tcPr>
          <w:p>
            <w:r>
              <w:t>Rules, procedures, explanations and organisational knowledge</w:t>
            </w:r>
          </w:p>
        </w:tc>
      </w:tr>
      <w:tr>
        <w:tc>
          <w:tcPr>
            <w:tcW w:type="dxa" w:w="2484"/>
          </w:tcPr>
          <w:p>
            <w:r>
              <w:t>4</w:t>
            </w:r>
          </w:p>
        </w:tc>
        <w:tc>
          <w:tcPr>
            <w:tcW w:type="dxa" w:w="2484"/>
          </w:tcPr>
          <w:p>
            <w:r>
              <w:t>Curated domain knowledge</w:t>
            </w:r>
          </w:p>
        </w:tc>
        <w:tc>
          <w:tcPr>
            <w:tcW w:type="dxa" w:w="2484"/>
          </w:tcPr>
          <w:p>
            <w:r>
              <w:t>Domain pack maintained by Synbot</w:t>
            </w:r>
          </w:p>
        </w:tc>
        <w:tc>
          <w:tcPr>
            <w:tcW w:type="dxa" w:w="2484"/>
          </w:tcPr>
          <w:p>
            <w:r>
              <w:t>Stable domain concepts and terminology</w:t>
            </w:r>
          </w:p>
        </w:tc>
      </w:tr>
      <w:tr>
        <w:tc>
          <w:tcPr>
            <w:tcW w:type="dxa" w:w="2484"/>
          </w:tcPr>
          <w:p>
            <w:r>
              <w:t>5</w:t>
            </w:r>
          </w:p>
        </w:tc>
        <w:tc>
          <w:tcPr>
            <w:tcW w:type="dxa" w:w="2484"/>
          </w:tcPr>
          <w:p>
            <w:r>
              <w:t>Conversation context</w:t>
            </w:r>
          </w:p>
        </w:tc>
        <w:tc>
          <w:tcPr>
            <w:tcW w:type="dxa" w:w="2484"/>
          </w:tcPr>
          <w:p>
            <w:r>
              <w:t>Information established and still valid in the current interaction</w:t>
            </w:r>
          </w:p>
        </w:tc>
        <w:tc>
          <w:tcPr>
            <w:tcW w:type="dxa" w:w="2484"/>
          </w:tcPr>
          <w:p>
            <w:r>
              <w:t>Follow-up questions and contextual references</w:t>
            </w:r>
          </w:p>
        </w:tc>
      </w:tr>
      <w:tr>
        <w:tc>
          <w:tcPr>
            <w:tcW w:type="dxa" w:w="2484"/>
          </w:tcPr>
          <w:p>
            <w:r>
              <w:t>6</w:t>
            </w:r>
          </w:p>
        </w:tc>
        <w:tc>
          <w:tcPr>
            <w:tcW w:type="dxa" w:w="2484"/>
          </w:tcPr>
          <w:p>
            <w:r>
              <w:t>General model knowledge</w:t>
            </w:r>
          </w:p>
        </w:tc>
        <w:tc>
          <w:tcPr>
            <w:tcW w:type="dxa" w:w="2484"/>
          </w:tcPr>
          <w:p>
            <w:r>
              <w:t>LLM's pretrained knowledge</w:t>
            </w:r>
          </w:p>
        </w:tc>
        <w:tc>
          <w:tcPr>
            <w:tcW w:type="dxa" w:w="2484"/>
          </w:tcPr>
          <w:p>
            <w:r>
              <w:t>Generic explanations where client-specific/current evidence is not required</w:t>
            </w:r>
          </w:p>
        </w:tc>
      </w:tr>
      <w:tr>
        <w:tc>
          <w:tcPr>
            <w:tcW w:type="dxa" w:w="2484"/>
          </w:tcPr>
          <w:p>
            <w:r>
              <w:t>7</w:t>
            </w:r>
          </w:p>
        </w:tc>
        <w:tc>
          <w:tcPr>
            <w:tcW w:type="dxa" w:w="2484"/>
          </w:tcPr>
          <w:p>
            <w:r>
              <w:t>External web</w:t>
            </w:r>
          </w:p>
        </w:tc>
        <w:tc>
          <w:tcPr>
            <w:tcW w:type="dxa" w:w="2484"/>
          </w:tcPr>
          <w:p>
            <w:r>
              <w:t>Only where explicitly enabled for the deployment</w:t>
            </w:r>
          </w:p>
        </w:tc>
        <w:tc>
          <w:tcPr>
            <w:tcW w:type="dxa" w:w="2484"/>
          </w:tcPr>
          <w:p>
            <w:r>
              <w:t>Current public information, research or external references</w:t>
            </w:r>
          </w:p>
        </w:tc>
      </w:tr>
    </w:tbl>
    <w:p>
      <w:r>
        <w:t>The hierarchy is a default, not an excuse to use the highest-ranked source for every question. The question type determines the appropriate source. A policy question may correctly use an approved document, while an account balance should normally use the live transactional source.</w:t>
      </w:r>
    </w:p>
    <w:p>
      <w:pPr>
        <w:pStyle w:val="Heading1"/>
      </w:pPr>
      <w:r>
        <w:t>4. The Source-Selection Decision</w:t>
      </w:r>
    </w:p>
    <w:p>
      <w:r>
        <w:t>Before answering, Synbot should classify the user's request into one or more information needs:</w:t>
      </w:r>
    </w:p>
    <w:p>
      <w:pPr>
        <w:pStyle w:val="ListBullet"/>
      </w:pPr>
      <w:r>
        <w:t>CONVERSATIONAL — answer from current conversation/context.</w:t>
      </w:r>
    </w:p>
    <w:p>
      <w:pPr>
        <w:pStyle w:val="ListBullet"/>
      </w:pPr>
      <w:r>
        <w:t>KNOWLEDGE — retrieve relevant documents or curated knowledge.</w:t>
      </w:r>
    </w:p>
    <w:p>
      <w:pPr>
        <w:pStyle w:val="ListBullet"/>
      </w:pPr>
      <w:r>
        <w:t>FACTUAL/LIVE — query a structured database or API.</w:t>
      </w:r>
    </w:p>
    <w:p>
      <w:pPr>
        <w:pStyle w:val="ListBullet"/>
      </w:pPr>
      <w:r>
        <w:t>ACTION — invoke an authorised workflow/tool.</w:t>
      </w:r>
    </w:p>
    <w:p>
      <w:pPr>
        <w:pStyle w:val="ListBullet"/>
      </w:pPr>
      <w:r>
        <w:t>ANALYTICAL — gather evidence, then calculate/compare/summarise.</w:t>
      </w:r>
    </w:p>
    <w:p>
      <w:pPr>
        <w:pStyle w:val="ListBullet"/>
      </w:pPr>
      <w:r>
        <w:t>MIXED — combine two or more of the above.</w:t>
      </w:r>
    </w:p>
    <w:p>
      <w:pPr>
        <w:pStyle w:val="Heading1"/>
      </w:pPr>
      <w:r>
        <w:t>5. Decision Matrix</w:t>
      </w:r>
    </w:p>
    <w:tbl>
      <w:tblPr>
        <w:tblStyle w:val="TableGrid"/>
        <w:tblW w:type="auto" w:w="0"/>
        <w:tblLook w:firstColumn="1" w:firstRow="1" w:lastColumn="0" w:lastRow="0" w:noHBand="0" w:noVBand="1" w:val="04A0"/>
      </w:tblPr>
      <w:tblGrid>
        <w:gridCol w:w="3312"/>
        <w:gridCol w:w="3312"/>
        <w:gridCol w:w="3312"/>
      </w:tblGrid>
      <w:tr>
        <w:tc>
          <w:tcPr>
            <w:tcW w:type="dxa" w:w="3312"/>
          </w:tcPr>
          <w:p>
            <w:r>
              <w:t>Question type</w:t>
            </w:r>
          </w:p>
        </w:tc>
        <w:tc>
          <w:tcPr>
            <w:tcW w:type="dxa" w:w="3312"/>
          </w:tcPr>
          <w:p>
            <w:r>
              <w:t>Primary source</w:t>
            </w:r>
          </w:p>
        </w:tc>
        <w:tc>
          <w:tcPr>
            <w:tcW w:type="dxa" w:w="3312"/>
          </w:tcPr>
          <w:p>
            <w:r>
              <w:t>Rule</w:t>
            </w:r>
          </w:p>
        </w:tc>
      </w:tr>
      <w:tr>
        <w:tc>
          <w:tcPr>
            <w:tcW w:type="dxa" w:w="3312"/>
          </w:tcPr>
          <w:p>
            <w:r>
              <w:t>What is the current balance?</w:t>
            </w:r>
          </w:p>
        </w:tc>
        <w:tc>
          <w:tcPr>
            <w:tcW w:type="dxa" w:w="3312"/>
          </w:tcPr>
          <w:p>
            <w:r>
              <w:t>Structured DB/API</w:t>
            </w:r>
          </w:p>
        </w:tc>
        <w:tc>
          <w:tcPr>
            <w:tcW w:type="dxa" w:w="3312"/>
          </w:tcPr>
          <w:p>
            <w:r>
              <w:t>Do not rely on RAG or model memory.</w:t>
            </w:r>
          </w:p>
        </w:tc>
      </w:tr>
      <w:tr>
        <w:tc>
          <w:tcPr>
            <w:tcW w:type="dxa" w:w="3312"/>
          </w:tcPr>
          <w:p>
            <w:r>
              <w:t>What does our refund policy say?</w:t>
            </w:r>
          </w:p>
        </w:tc>
        <w:tc>
          <w:tcPr>
            <w:tcW w:type="dxa" w:w="3312"/>
          </w:tcPr>
          <w:p>
            <w:r>
              <w:t>Approved document/RAG</w:t>
            </w:r>
          </w:p>
        </w:tc>
        <w:tc>
          <w:tcPr>
            <w:tcW w:type="dxa" w:w="3312"/>
          </w:tcPr>
          <w:p>
            <w:r>
              <w:t>Use the latest approved policy.</w:t>
            </w:r>
          </w:p>
        </w:tc>
      </w:tr>
      <w:tr>
        <w:tc>
          <w:tcPr>
            <w:tcW w:type="dxa" w:w="3312"/>
          </w:tcPr>
          <w:p>
            <w:r>
              <w:t>What is the patient's current queue status?</w:t>
            </w:r>
          </w:p>
        </w:tc>
        <w:tc>
          <w:tcPr>
            <w:tcW w:type="dxa" w:w="3312"/>
          </w:tcPr>
          <w:p>
            <w:r>
              <w:t>Live clinical/queue system</w:t>
            </w:r>
          </w:p>
        </w:tc>
        <w:tc>
          <w:tcPr>
            <w:tcW w:type="dxa" w:w="3312"/>
          </w:tcPr>
          <w:p>
            <w:r>
              <w:t>Current operational fact.</w:t>
            </w:r>
          </w:p>
        </w:tc>
      </w:tr>
      <w:tr>
        <w:tc>
          <w:tcPr>
            <w:tcW w:type="dxa" w:w="3312"/>
          </w:tcPr>
          <w:p>
            <w:r>
              <w:t>Explain what a deductible means.</w:t>
            </w:r>
          </w:p>
        </w:tc>
        <w:tc>
          <w:tcPr>
            <w:tcW w:type="dxa" w:w="3312"/>
          </w:tcPr>
          <w:p>
            <w:r>
              <w:t>Domain/general knowledge</w:t>
            </w:r>
          </w:p>
        </w:tc>
        <w:tc>
          <w:tcPr>
            <w:tcW w:type="dxa" w:w="3312"/>
          </w:tcPr>
          <w:p>
            <w:r>
              <w:t>No client lookup required unless policy-specific.</w:t>
            </w:r>
          </w:p>
        </w:tc>
      </w:tr>
      <w:tr>
        <w:tc>
          <w:tcPr>
            <w:tcW w:type="dxa" w:w="3312"/>
          </w:tcPr>
          <w:p>
            <w:r>
              <w:t>Can you cancel this appointment?</w:t>
            </w:r>
          </w:p>
        </w:tc>
        <w:tc>
          <w:tcPr>
            <w:tcW w:type="dxa" w:w="3312"/>
          </w:tcPr>
          <w:p>
            <w:r>
              <w:t>Action tool + live lookup</w:t>
            </w:r>
          </w:p>
        </w:tc>
        <w:tc>
          <w:tcPr>
            <w:tcW w:type="dxa" w:w="3312"/>
          </w:tcPr>
          <w:p>
            <w:r>
              <w:t>Verify target and permission before action.</w:t>
            </w:r>
          </w:p>
        </w:tc>
      </w:tr>
      <w:tr>
        <w:tc>
          <w:tcPr>
            <w:tcW w:type="dxa" w:w="3312"/>
          </w:tcPr>
          <w:p>
            <w:r>
              <w:t>Why did this transaction fail?</w:t>
            </w:r>
          </w:p>
        </w:tc>
        <w:tc>
          <w:tcPr>
            <w:tcW w:type="dxa" w:w="3312"/>
          </w:tcPr>
          <w:p>
            <w:r>
              <w:t>Live transaction data + relevant logs/docs</w:t>
            </w:r>
          </w:p>
        </w:tc>
        <w:tc>
          <w:tcPr>
            <w:tcW w:type="dxa" w:w="3312"/>
          </w:tcPr>
          <w:p>
            <w:r>
              <w:t>Combine current evidence with documented rules.</w:t>
            </w:r>
          </w:p>
        </w:tc>
      </w:tr>
      <w:tr>
        <w:tc>
          <w:tcPr>
            <w:tcW w:type="dxa" w:w="3312"/>
          </w:tcPr>
          <w:p>
            <w:r>
              <w:t>Summarise this uploaded policy.</w:t>
            </w:r>
          </w:p>
        </w:tc>
        <w:tc>
          <w:tcPr>
            <w:tcW w:type="dxa" w:w="3312"/>
          </w:tcPr>
          <w:p>
            <w:r>
              <w:t>Provided document</w:t>
            </w:r>
          </w:p>
        </w:tc>
        <w:tc>
          <w:tcPr>
            <w:tcW w:type="dxa" w:w="3312"/>
          </w:tcPr>
          <w:p>
            <w:r>
              <w:t>Do not introduce unrelated external facts.</w:t>
            </w:r>
          </w:p>
        </w:tc>
      </w:tr>
      <w:tr>
        <w:tc>
          <w:tcPr>
            <w:tcW w:type="dxa" w:w="3312"/>
          </w:tcPr>
          <w:p>
            <w:r>
              <w:t>What happened to this order?</w:t>
            </w:r>
          </w:p>
        </w:tc>
        <w:tc>
          <w:tcPr>
            <w:tcW w:type="dxa" w:w="3312"/>
          </w:tcPr>
          <w:p>
            <w:r>
              <w:t>Live order system</w:t>
            </w:r>
          </w:p>
        </w:tc>
        <w:tc>
          <w:tcPr>
            <w:tcW w:type="dxa" w:w="3312"/>
          </w:tcPr>
          <w:p>
            <w:r>
              <w:t>Use current status and event history.</w:t>
            </w:r>
          </w:p>
        </w:tc>
      </w:tr>
    </w:tbl>
    <w:p>
      <w:pPr>
        <w:pStyle w:val="Heading1"/>
      </w:pPr>
      <w:r>
        <w:t>6. RAG: When to Retrieve</w:t>
      </w:r>
    </w:p>
    <w:p>
      <w:r>
        <w:t>Retrieval-Augmented Generation (RAG) should be used when the answer depends on a knowledge corpus that is too dynamic, specific or private to leave solely to the model. Retrieved context should be relevant and bounded. Microsoft guidance recommends explicit grounding instructions, defined fallback behaviour, conflict handling and scope control. citeturn0search1</w:t>
      </w:r>
    </w:p>
    <w:p>
      <w:pPr>
        <w:pStyle w:val="ListBullet"/>
      </w:pPr>
      <w:r>
        <w:t>Retrieve when the user asks about internal policies, procedures, manuals, approved documentation or client-specific knowledge.</w:t>
      </w:r>
    </w:p>
    <w:p>
      <w:pPr>
        <w:pStyle w:val="ListBullet"/>
      </w:pPr>
      <w:r>
        <w:t>Retrieve when a document is the source of truth for the requested information.</w:t>
      </w:r>
    </w:p>
    <w:p>
      <w:pPr>
        <w:pStyle w:val="ListBullet"/>
      </w:pPr>
      <w:r>
        <w:t>Retrieve when the model needs supporting context to explain a domain-specific answer.</w:t>
      </w:r>
    </w:p>
    <w:p>
      <w:pPr>
        <w:pStyle w:val="ListBullet"/>
      </w:pPr>
      <w:r>
        <w:t>Do not retrieve simply because RAG exists; unnecessary retrieval adds latency and noise.</w:t>
      </w:r>
    </w:p>
    <w:p>
      <w:pPr>
        <w:pStyle w:val="ListBullet"/>
      </w:pPr>
      <w:r>
        <w:t>Prefer exact or metadata-filtered retrieval when the user gives a precise identifier or document.</w:t>
      </w:r>
    </w:p>
    <w:p>
      <w:pPr>
        <w:pStyle w:val="ListBullet"/>
      </w:pPr>
      <w:r>
        <w:t>Use hybrid/semantic retrieval for conceptual questions where exact wording may differ.</w:t>
      </w:r>
    </w:p>
    <w:p>
      <w:pPr>
        <w:pStyle w:val="Heading1"/>
      </w:pPr>
      <w:r>
        <w:t>7. Structured Data: When to Query the Database/API</w:t>
      </w:r>
    </w:p>
    <w:p>
      <w:pPr>
        <w:pStyle w:val="ListBullet"/>
      </w:pPr>
      <w:r>
        <w:t>Current quantities, balances, statuses and counts.</w:t>
      </w:r>
    </w:p>
    <w:p>
      <w:pPr>
        <w:pStyle w:val="ListBullet"/>
      </w:pPr>
      <w:r>
        <w:t>Patient, customer, account, order, appointment or transaction records.</w:t>
      </w:r>
    </w:p>
    <w:p>
      <w:pPr>
        <w:pStyle w:val="ListBullet"/>
      </w:pPr>
      <w:r>
        <w:t>Time-sensitive operational information.</w:t>
      </w:r>
    </w:p>
    <w:p>
      <w:pPr>
        <w:pStyle w:val="ListBullet"/>
      </w:pPr>
      <w:r>
        <w:t>Exact identifiers and relationships.</w:t>
      </w:r>
    </w:p>
    <w:p>
      <w:pPr>
        <w:pStyle w:val="ListBullet"/>
      </w:pPr>
      <w:r>
        <w:t>Aggregations that must reflect current data.</w:t>
      </w:r>
    </w:p>
    <w:p>
      <w:pPr>
        <w:pStyle w:val="ListBullet"/>
      </w:pPr>
      <w:r>
        <w:t>Anything where a stale document could produce the wrong answer.</w:t>
      </w:r>
    </w:p>
    <w:p>
      <w:r>
        <w:t>For these requests, RAG should not be treated as a substitute for the transactional source. A knowledge document might explain what 'outstanding balance' means, but the live financial system should provide the actual amount.</w:t>
      </w:r>
    </w:p>
    <w:p>
      <w:pPr>
        <w:pStyle w:val="Heading1"/>
      </w:pPr>
      <w:r>
        <w:t>8. Tools: When to Act</w:t>
      </w:r>
    </w:p>
    <w:p>
      <w:r>
        <w:t>A tool should be used when the request requires an operation rather than merely an explanation.</w:t>
      </w:r>
    </w:p>
    <w:p>
      <w:pPr>
        <w:pStyle w:val="ListBullet"/>
      </w:pPr>
      <w:r>
        <w:t>Create, update, cancel or approve a record.</w:t>
      </w:r>
    </w:p>
    <w:p>
      <w:pPr>
        <w:pStyle w:val="ListBullet"/>
      </w:pPr>
      <w:r>
        <w:t>Send or retrieve information through an authorised service.</w:t>
      </w:r>
    </w:p>
    <w:p>
      <w:pPr>
        <w:pStyle w:val="ListBullet"/>
      </w:pPr>
      <w:r>
        <w:t>Perform a calculation that depends on system data.</w:t>
      </w:r>
    </w:p>
    <w:p>
      <w:pPr>
        <w:pStyle w:val="ListBullet"/>
      </w:pPr>
      <w:r>
        <w:t>Generate a report from live records.</w:t>
      </w:r>
    </w:p>
    <w:p>
      <w:pPr>
        <w:pStyle w:val="ListBullet"/>
      </w:pPr>
      <w:r>
        <w:t>Trigger a workflow.</w:t>
      </w:r>
    </w:p>
    <w:p>
      <w:pPr>
        <w:pStyle w:val="ListBullet"/>
      </w:pPr>
      <w:r>
        <w:t>Check a service that cannot be represented reliably by static context.</w:t>
      </w:r>
    </w:p>
    <w:p>
      <w:pPr>
        <w:pStyle w:val="Heading2"/>
      </w:pPr>
      <w:r>
        <w:t>8.1 Read Before Write</w:t>
      </w:r>
    </w:p>
    <w:p>
      <w:r>
        <w:t>For consequential actions, Synbot should normally verify the target state before performing the action. Where appropriate, confirm the user's authority and resolve ambiguity before changing data.</w:t>
      </w:r>
    </w:p>
    <w:p>
      <w:pPr>
        <w:pStyle w:val="Heading1"/>
      </w:pPr>
      <w:r>
        <w:t>9. The Synbot Decision Pipeline</w:t>
      </w:r>
    </w:p>
    <w:p>
      <w:r>
        <w:rPr>
          <w:rFonts w:ascii="Aptos Mono" w:hAnsi="Aptos Mono"/>
        </w:rPr>
        <w:t>USER REQUEST</w:t>
        <w:br/>
        <w:t xml:space="preserve">     ↓</w:t>
        <w:br/>
        <w:t>UNDERSTAND</w:t>
        <w:br/>
        <w:t xml:space="preserve">     ↓</w:t>
        <w:br/>
        <w:t>CLASSIFY INFORMATION NEED</w:t>
        <w:br/>
        <w:t xml:space="preserve">     ↓</w:t>
        <w:br/>
        <w:t>CHECK CONVERSATION CONTEXT</w:t>
        <w:br/>
        <w:t xml:space="preserve">     ↓</w:t>
        <w:br/>
        <w:t>SELECT SOURCE / TOOL</w:t>
        <w:br/>
        <w:t xml:space="preserve">     ↓</w:t>
        <w:br/>
        <w:t>RETRIEVE OR EXECUTE</w:t>
        <w:br/>
        <w:t xml:space="preserve">     ↓</w:t>
        <w:br/>
        <w:t>VALIDATE RESULT</w:t>
        <w:br/>
        <w:t xml:space="preserve">     ↓</w:t>
        <w:br/>
        <w:t>CHECK COMPLETENESS / CONFLICT</w:t>
        <w:br/>
        <w:t xml:space="preserve">     ↓</w:t>
        <w:br/>
        <w:t>COMPOSE RESPONSE</w:t>
        <w:br/>
        <w:t xml:space="preserve">     ↓</w:t>
        <w:br/>
        <w:t>GROUNDING + PERMISSION CHECK</w:t>
        <w:br/>
        <w:t xml:space="preserve">     ↓</w:t>
        <w:br/>
        <w:t>RESPOND</w:t>
      </w:r>
    </w:p>
    <w:p>
      <w:pPr>
        <w:pStyle w:val="Heading1"/>
      </w:pPr>
      <w:r>
        <w:t>10. Validation Gate</w:t>
      </w:r>
    </w:p>
    <w:p>
      <w:r>
        <w:t>Before sending the final answer, Synbot should internally check:</w:t>
      </w:r>
    </w:p>
    <w:p>
      <w:pPr>
        <w:pStyle w:val="ListBullet"/>
      </w:pPr>
      <w:r>
        <w:t>Source: Where did each important factual claim come from?</w:t>
      </w:r>
    </w:p>
    <w:p>
      <w:pPr>
        <w:pStyle w:val="ListBullet"/>
      </w:pPr>
      <w:r>
        <w:t>Freshness: Does the claim require current data?</w:t>
      </w:r>
    </w:p>
    <w:p>
      <w:pPr>
        <w:pStyle w:val="ListBullet"/>
      </w:pPr>
      <w:r>
        <w:t>Authority: Is this the correct source for this type of fact?</w:t>
      </w:r>
    </w:p>
    <w:p>
      <w:pPr>
        <w:pStyle w:val="ListBullet"/>
      </w:pPr>
      <w:r>
        <w:t>Completeness: Did the source answer all relevant parts of the question?</w:t>
      </w:r>
    </w:p>
    <w:p>
      <w:pPr>
        <w:pStyle w:val="ListBullet"/>
      </w:pPr>
      <w:r>
        <w:t>Conflict: Do relevant sources disagree?</w:t>
      </w:r>
    </w:p>
    <w:p>
      <w:pPr>
        <w:pStyle w:val="ListBullet"/>
      </w:pPr>
      <w:r>
        <w:t>Permission: Is the user authorised to receive or act on this information?</w:t>
      </w:r>
    </w:p>
    <w:p>
      <w:pPr>
        <w:pStyle w:val="ListBullet"/>
      </w:pPr>
      <w:r>
        <w:t>Certainty: Does the wording match the evidence?</w:t>
      </w:r>
    </w:p>
    <w:p>
      <w:pPr>
        <w:pStyle w:val="ListBullet"/>
      </w:pPr>
      <w:r>
        <w:t>Scope: Is the answer within the deployment's capabilities?</w:t>
      </w:r>
    </w:p>
    <w:p>
      <w:pPr>
        <w:pStyle w:val="Heading1"/>
      </w:pPr>
      <w:r>
        <w:t>11. Grounding States</w:t>
      </w:r>
    </w:p>
    <w:tbl>
      <w:tblPr>
        <w:tblStyle w:val="TableGrid"/>
        <w:tblW w:type="auto" w:w="0"/>
        <w:tblLook w:firstColumn="1" w:firstRow="1" w:lastColumn="0" w:lastRow="0" w:noHBand="0" w:noVBand="1" w:val="04A0"/>
      </w:tblPr>
      <w:tblGrid>
        <w:gridCol w:w="3312"/>
        <w:gridCol w:w="3312"/>
        <w:gridCol w:w="3312"/>
      </w:tblGrid>
      <w:tr>
        <w:tc>
          <w:tcPr>
            <w:tcW w:type="dxa" w:w="3312"/>
          </w:tcPr>
          <w:p>
            <w:r>
              <w:t>State</w:t>
            </w:r>
          </w:p>
        </w:tc>
        <w:tc>
          <w:tcPr>
            <w:tcW w:type="dxa" w:w="3312"/>
          </w:tcPr>
          <w:p>
            <w:r>
              <w:t>Meaning</w:t>
            </w:r>
          </w:p>
        </w:tc>
        <w:tc>
          <w:tcPr>
            <w:tcW w:type="dxa" w:w="3312"/>
          </w:tcPr>
          <w:p>
            <w:r>
              <w:t>Behaviour</w:t>
            </w:r>
          </w:p>
        </w:tc>
      </w:tr>
      <w:tr>
        <w:tc>
          <w:tcPr>
            <w:tcW w:type="dxa" w:w="3312"/>
          </w:tcPr>
          <w:p>
            <w:r>
              <w:t>G0 — No grounding required</w:t>
            </w:r>
          </w:p>
        </w:tc>
        <w:tc>
          <w:tcPr>
            <w:tcW w:type="dxa" w:w="3312"/>
          </w:tcPr>
          <w:p>
            <w:r>
              <w:t>Casual conversation or generic explanation.</w:t>
            </w:r>
          </w:p>
        </w:tc>
        <w:tc>
          <w:tcPr>
            <w:tcW w:type="dxa" w:w="3312"/>
          </w:tcPr>
          <w:p>
            <w:r>
              <w:t>Answer normally.</w:t>
            </w:r>
          </w:p>
        </w:tc>
      </w:tr>
      <w:tr>
        <w:tc>
          <w:tcPr>
            <w:tcW w:type="dxa" w:w="3312"/>
          </w:tcPr>
          <w:p>
            <w:r>
              <w:t>G1 — Context grounded</w:t>
            </w:r>
          </w:p>
        </w:tc>
        <w:tc>
          <w:tcPr>
            <w:tcW w:type="dxa" w:w="3312"/>
          </w:tcPr>
          <w:p>
            <w:r>
              <w:t>Current conversation is sufficient.</w:t>
            </w:r>
          </w:p>
        </w:tc>
        <w:tc>
          <w:tcPr>
            <w:tcW w:type="dxa" w:w="3312"/>
          </w:tcPr>
          <w:p>
            <w:r>
              <w:t>Answer from context.</w:t>
            </w:r>
          </w:p>
        </w:tc>
      </w:tr>
      <w:tr>
        <w:tc>
          <w:tcPr>
            <w:tcW w:type="dxa" w:w="3312"/>
          </w:tcPr>
          <w:p>
            <w:r>
              <w:t>G2 — Document grounded</w:t>
            </w:r>
          </w:p>
        </w:tc>
        <w:tc>
          <w:tcPr>
            <w:tcW w:type="dxa" w:w="3312"/>
          </w:tcPr>
          <w:p>
            <w:r>
              <w:t>Approved knowledge source retrieved.</w:t>
            </w:r>
          </w:p>
        </w:tc>
        <w:tc>
          <w:tcPr>
            <w:tcW w:type="dxa" w:w="3312"/>
          </w:tcPr>
          <w:p>
            <w:r>
              <w:t>Answer from retrieved evidence.</w:t>
            </w:r>
          </w:p>
        </w:tc>
      </w:tr>
      <w:tr>
        <w:tc>
          <w:tcPr>
            <w:tcW w:type="dxa" w:w="3312"/>
          </w:tcPr>
          <w:p>
            <w:r>
              <w:t>G3 — Data grounded</w:t>
            </w:r>
          </w:p>
        </w:tc>
        <w:tc>
          <w:tcPr>
            <w:tcW w:type="dxa" w:w="3312"/>
          </w:tcPr>
          <w:p>
            <w:r>
              <w:t>Live structured source queried.</w:t>
            </w:r>
          </w:p>
        </w:tc>
        <w:tc>
          <w:tcPr>
            <w:tcW w:type="dxa" w:w="3312"/>
          </w:tcPr>
          <w:p>
            <w:r>
              <w:t>State current data directly.</w:t>
            </w:r>
          </w:p>
        </w:tc>
      </w:tr>
      <w:tr>
        <w:tc>
          <w:tcPr>
            <w:tcW w:type="dxa" w:w="3312"/>
          </w:tcPr>
          <w:p>
            <w:r>
              <w:t>G4 — Action grounded</w:t>
            </w:r>
          </w:p>
        </w:tc>
        <w:tc>
          <w:tcPr>
            <w:tcW w:type="dxa" w:w="3312"/>
          </w:tcPr>
          <w:p>
            <w:r>
              <w:t>Tool executed successfully.</w:t>
            </w:r>
          </w:p>
        </w:tc>
        <w:tc>
          <w:tcPr>
            <w:tcW w:type="dxa" w:w="3312"/>
          </w:tcPr>
          <w:p>
            <w:r>
              <w:t>Report the verified outcome.</w:t>
            </w:r>
          </w:p>
        </w:tc>
      </w:tr>
      <w:tr>
        <w:tc>
          <w:tcPr>
            <w:tcW w:type="dxa" w:w="3312"/>
          </w:tcPr>
          <w:p>
            <w:r>
              <w:t>G5 — Partial grounding</w:t>
            </w:r>
          </w:p>
        </w:tc>
        <w:tc>
          <w:tcPr>
            <w:tcW w:type="dxa" w:w="3312"/>
          </w:tcPr>
          <w:p>
            <w:r>
              <w:t>Evidence supports only part of the request.</w:t>
            </w:r>
          </w:p>
        </w:tc>
        <w:tc>
          <w:tcPr>
            <w:tcW w:type="dxa" w:w="3312"/>
          </w:tcPr>
          <w:p>
            <w:r>
              <w:t>Answer supported portion; identify gap.</w:t>
            </w:r>
          </w:p>
        </w:tc>
      </w:tr>
      <w:tr>
        <w:tc>
          <w:tcPr>
            <w:tcW w:type="dxa" w:w="3312"/>
          </w:tcPr>
          <w:p>
            <w:r>
              <w:t>G6 — Conflict</w:t>
            </w:r>
          </w:p>
        </w:tc>
        <w:tc>
          <w:tcPr>
            <w:tcW w:type="dxa" w:w="3312"/>
          </w:tcPr>
          <w:p>
            <w:r>
              <w:t>Sources disagree.</w:t>
            </w:r>
          </w:p>
        </w:tc>
        <w:tc>
          <w:tcPr>
            <w:tcW w:type="dxa" w:w="3312"/>
          </w:tcPr>
          <w:p>
            <w:r>
              <w:t>Surface conflict; apply source hierarchy or request review.</w:t>
            </w:r>
          </w:p>
        </w:tc>
      </w:tr>
      <w:tr>
        <w:tc>
          <w:tcPr>
            <w:tcW w:type="dxa" w:w="3312"/>
          </w:tcPr>
          <w:p>
            <w:r>
              <w:t>G7 — No sufficient evidence</w:t>
            </w:r>
          </w:p>
        </w:tc>
        <w:tc>
          <w:tcPr>
            <w:tcW w:type="dxa" w:w="3312"/>
          </w:tcPr>
          <w:p>
            <w:r>
              <w:t>Available sources cannot verify the answer.</w:t>
            </w:r>
          </w:p>
        </w:tc>
        <w:tc>
          <w:tcPr>
            <w:tcW w:type="dxa" w:w="3312"/>
          </w:tcPr>
          <w:p>
            <w:r>
              <w:t>Do not guess; state limitation.</w:t>
            </w:r>
          </w:p>
        </w:tc>
      </w:tr>
    </w:tbl>
    <w:p>
      <w:pPr>
        <w:pStyle w:val="Heading1"/>
      </w:pPr>
      <w:r>
        <w:t>12. Partial Answers Are Better Than Fabricated Complete Answers</w:t>
      </w:r>
    </w:p>
    <w:p>
      <w:r>
        <w:t>When a request contains several parts and only some can be verified, Synbot should answer the supported parts and explicitly identify the unsupported parts. Microsoft guidance specifically recommends partial-context behaviour rather than forcing an unsupported complete answer. citeturn0search1</w:t>
      </w:r>
    </w:p>
    <w:p>
      <w:r>
        <w:t>Example:</w:t>
      </w:r>
    </w:p>
    <w:p>
      <w:r>
        <w:t>User: 'Give me the patient's doctor, diagnosis and latest lab result.'</w:t>
      </w:r>
    </w:p>
    <w:p>
      <w:r>
        <w:t>Preferred: 'I can confirm the patient's encounter, but the doctor and diagnosis aren't recorded in the current record. I can see the lab order, but no result is recorded.'</w:t>
      </w:r>
    </w:p>
    <w:p>
      <w:pPr>
        <w:pStyle w:val="Heading1"/>
      </w:pPr>
      <w:r>
        <w:t>13. Conflict Resolution</w:t>
      </w:r>
    </w:p>
    <w:p>
      <w:r>
        <w:t>Conflicting information should be treated as a data problem, not a language problem. Synbot should not use confident wording to hide uncertainty in the underlying records.</w:t>
      </w:r>
    </w:p>
    <w:p>
      <w:pPr>
        <w:pStyle w:val="ListNumber"/>
      </w:pPr>
      <w:r>
        <w:t>Identify which sources disagree.</w:t>
      </w:r>
    </w:p>
    <w:p>
      <w:pPr>
        <w:pStyle w:val="ListNumber"/>
      </w:pPr>
      <w:r>
        <w:t>Check the deployment's defined authority and recency rules.</w:t>
      </w:r>
    </w:p>
    <w:p>
      <w:pPr>
        <w:pStyle w:val="ListNumber"/>
      </w:pPr>
      <w:r>
        <w:t>Prefer the designated source of truth where one exists.</w:t>
      </w:r>
    </w:p>
    <w:p>
      <w:pPr>
        <w:pStyle w:val="ListNumber"/>
      </w:pPr>
      <w:r>
        <w:t>If no source is authoritative enough to resolve the conflict, report the conflict.</w:t>
      </w:r>
    </w:p>
    <w:p>
      <w:pPr>
        <w:pStyle w:val="ListNumber"/>
      </w:pPr>
      <w:r>
        <w:t>Do not invent a reconciliation.</w:t>
      </w:r>
    </w:p>
    <w:p>
      <w:pPr>
        <w:pStyle w:val="Heading1"/>
      </w:pPr>
      <w:r>
        <w:t>14. Context Management</w:t>
      </w:r>
    </w:p>
    <w:p>
      <w:r>
        <w:t>Do not place every available document, tool definition or database record into every prompt. Retrieve or load the information needed for the current task. Modern agent guidance increasingly emphasises just-in-time context: keep lightweight references and load detailed information at runtime when needed. citeturn0search7</w:t>
      </w:r>
    </w:p>
    <w:p>
      <w:pPr>
        <w:pStyle w:val="ListBullet"/>
      </w:pPr>
      <w:r>
        <w:t>Keep the base prompt stable and compact.</w:t>
      </w:r>
    </w:p>
    <w:p>
      <w:pPr>
        <w:pStyle w:val="ListBullet"/>
      </w:pPr>
      <w:r>
        <w:t>Load domain instructions only for relevant domains.</w:t>
      </w:r>
    </w:p>
    <w:p>
      <w:pPr>
        <w:pStyle w:val="ListBullet"/>
      </w:pPr>
      <w:r>
        <w:t>Load tool definitions relevant to the current task.</w:t>
      </w:r>
    </w:p>
    <w:p>
      <w:pPr>
        <w:pStyle w:val="ListBullet"/>
      </w:pPr>
      <w:r>
        <w:t>Retrieve only useful document chunks.</w:t>
      </w:r>
    </w:p>
    <w:p>
      <w:pPr>
        <w:pStyle w:val="ListBullet"/>
      </w:pPr>
      <w:r>
        <w:t>Avoid duplicate tool results in long conversations.</w:t>
      </w:r>
    </w:p>
    <w:p>
      <w:pPr>
        <w:pStyle w:val="ListBullet"/>
      </w:pPr>
      <w:r>
        <w:t>Summarise or persist important state when a workflow becomes long.</w:t>
      </w:r>
    </w:p>
    <w:p>
      <w:pPr>
        <w:pStyle w:val="Heading1"/>
      </w:pPr>
      <w:r>
        <w:t>15. Tool Design Requirements</w:t>
      </w:r>
    </w:p>
    <w:p>
      <w:r>
        <w:t>A tool is part of the conversational interface. Poorly described tools create poor agent behaviour. Tool names, descriptions, inputs, outputs, permissions and failure states should be explicit. Anthropic's current tool-use guidance similarly emphasises clear tool definitions, boundaries and evaluations. citeturn0search8</w:t>
      </w:r>
    </w:p>
    <w:p>
      <w:pPr>
        <w:pStyle w:val="ListBullet"/>
      </w:pPr>
      <w:r>
        <w:t>Name tools by business capability, not implementation detail.</w:t>
      </w:r>
    </w:p>
    <w:p>
      <w:pPr>
        <w:pStyle w:val="ListBullet"/>
      </w:pPr>
      <w:r>
        <w:t>Describe when the tool should be used.</w:t>
      </w:r>
    </w:p>
    <w:p>
      <w:pPr>
        <w:pStyle w:val="ListBullet"/>
      </w:pPr>
      <w:r>
        <w:t>Describe when it should not be used.</w:t>
      </w:r>
    </w:p>
    <w:p>
      <w:pPr>
        <w:pStyle w:val="ListBullet"/>
      </w:pPr>
      <w:r>
        <w:t>Use strict input schemas.</w:t>
      </w:r>
    </w:p>
    <w:p>
      <w:pPr>
        <w:pStyle w:val="ListBullet"/>
      </w:pPr>
      <w:r>
        <w:t>Return structured results where possible.</w:t>
      </w:r>
    </w:p>
    <w:p>
      <w:pPr>
        <w:pStyle w:val="ListBullet"/>
      </w:pPr>
      <w:r>
        <w:t>Return explicit error states rather than ambiguous empty responses.</w:t>
      </w:r>
    </w:p>
    <w:p>
      <w:pPr>
        <w:pStyle w:val="ListBullet"/>
      </w:pPr>
      <w:r>
        <w:t>Document permission requirements.</w:t>
      </w:r>
    </w:p>
    <w:p>
      <w:pPr>
        <w:pStyle w:val="ListBullet"/>
      </w:pPr>
      <w:r>
        <w:t>Keep tools narrow enough that their purpose is unambiguous.</w:t>
      </w:r>
    </w:p>
    <w:p>
      <w:pPr>
        <w:pStyle w:val="Heading1"/>
      </w:pPr>
      <w:r>
        <w:t>16. Fast Path vs Deep Path</w:t>
      </w:r>
    </w:p>
    <w:p>
      <w:r/>
    </w:p>
    <w:tbl>
      <w:tblPr>
        <w:tblStyle w:val="TableGrid"/>
        <w:tblW w:type="auto" w:w="0"/>
        <w:tblLook w:firstColumn="1" w:firstRow="1" w:lastColumn="0" w:lastRow="0" w:noHBand="0" w:noVBand="1" w:val="04A0"/>
      </w:tblPr>
      <w:tblGrid>
        <w:gridCol w:w="4968"/>
        <w:gridCol w:w="4968"/>
      </w:tblGrid>
      <w:tr>
        <w:tc>
          <w:tcPr>
            <w:tcW w:type="dxa" w:w="4968"/>
          </w:tcPr>
          <w:p>
            <w:r>
              <w:t>Path</w:t>
            </w:r>
          </w:p>
        </w:tc>
        <w:tc>
          <w:tcPr>
            <w:tcW w:type="dxa" w:w="4968"/>
          </w:tcPr>
          <w:p>
            <w:r>
              <w:t>Use</w:t>
            </w:r>
          </w:p>
        </w:tc>
      </w:tr>
    </w:tbl>
    <w:p>
      <w:pPr>
        <w:pStyle w:val="Heading1"/>
      </w:pPr>
      <w:r>
        <w:t>17. Synbot Source-of-Truth Configuration Template</w:t>
      </w:r>
    </w:p>
    <w:p>
      <w:r>
        <w:rPr>
          <w:rFonts w:ascii="Aptos Mono" w:hAnsi="Aptos Mono"/>
          <w:sz w:val="18"/>
        </w:rPr>
        <w:t>SOURCE_OF_TRUTH:</w:t>
        <w:br/>
        <w:t xml:space="preserve">  operational_data:</w:t>
        <w:br/>
        <w:t xml:space="preserve">    primary: &lt;live database/API&gt;</w:t>
        <w:br/>
        <w:t xml:space="preserve">    fallback: &lt;approved secondary source&gt;</w:t>
        <w:br/>
        <w:br/>
        <w:t xml:space="preserve">  policies:</w:t>
        <w:br/>
        <w:t xml:space="preserve">    primary: &lt;approved policy repository&gt;</w:t>
        <w:br/>
        <w:t xml:space="preserve">    version_rule: &lt;latest approved version&gt;</w:t>
        <w:br/>
        <w:br/>
        <w:t xml:space="preserve">  knowledge:</w:t>
        <w:br/>
        <w:t xml:space="preserve">    primary: &lt;RAG knowledge base&gt;</w:t>
        <w:br/>
        <w:br/>
        <w:t xml:space="preserve">  public_information:</w:t>
        <w:br/>
        <w:t xml:space="preserve">    enabled: &lt;true/false&gt;</w:t>
        <w:br/>
        <w:t xml:space="preserve">    sources: &lt;approved domains&gt;</w:t>
        <w:br/>
        <w:br/>
        <w:t xml:space="preserve">  actions:</w:t>
        <w:br/>
        <w:t xml:space="preserve">    available_tools:</w:t>
        <w:br/>
        <w:t xml:space="preserve">      - &lt;tool&gt;</w:t>
        <w:br/>
        <w:t xml:space="preserve">    confirmation_required:</w:t>
        <w:br/>
        <w:t xml:space="preserve">      - &lt;action&gt;</w:t>
        <w:br/>
        <w:br/>
        <w:t xml:space="preserve">  permissions:</w:t>
        <w:br/>
        <w:t xml:space="preserve">    roles:</w:t>
        <w:br/>
        <w:t xml:space="preserve">      - &lt;role&gt;</w:t>
        <w:br/>
      </w:r>
    </w:p>
    <w:p>
      <w:pPr>
        <w:pStyle w:val="Heading1"/>
      </w:pPr>
      <w:r>
        <w:t>18. Example: Synbot Health</w:t>
      </w:r>
    </w:p>
    <w:p>
      <w:r>
        <w:t>For Synbot Health, the framework means clinical and operational answers should be separated from static knowledge. The existing RoyanHealth design contains structured patient, encounter, prescription, billing, appointment and laboratory data, while the data-quality audit identifies specific fields that are incomplete or not available from the source system.</w:t>
      </w:r>
    </w:p>
    <w:p>
      <w:pPr>
        <w:pStyle w:val="ListBullet"/>
      </w:pPr>
      <w:r>
        <w:t>Patient identity → patient database.</w:t>
      </w:r>
    </w:p>
    <w:p>
      <w:pPr>
        <w:pStyle w:val="ListBullet"/>
      </w:pPr>
      <w:r>
        <w:t>Current encounter → encounter database.</w:t>
      </w:r>
    </w:p>
    <w:p>
      <w:pPr>
        <w:pStyle w:val="ListBullet"/>
      </w:pPr>
      <w:r>
        <w:t>Current queue → queue/operational service.</w:t>
      </w:r>
    </w:p>
    <w:p>
      <w:pPr>
        <w:pStyle w:val="ListBullet"/>
      </w:pPr>
      <w:r>
        <w:t>Prescription → prescription database.</w:t>
      </w:r>
    </w:p>
    <w:p>
      <w:pPr>
        <w:pStyle w:val="ListBullet"/>
      </w:pPr>
      <w:r>
        <w:t>Clinical policy explanation → approved clinical documents.</w:t>
      </w:r>
    </w:p>
    <w:p>
      <w:pPr>
        <w:pStyle w:val="ListBullet"/>
      </w:pPr>
      <w:r>
        <w:t>Missing doctor assignment → state that the current record does not contain the assignment; do not infer that no doctor exists.</w:t>
      </w:r>
    </w:p>
    <w:p>
      <w:pPr>
        <w:pStyle w:val="ListBullet"/>
      </w:pPr>
      <w:r>
        <w:t>Lab result → lab result source; do not treat the existence of a lab order as proof of a result.</w:t>
      </w:r>
    </w:p>
    <w:p>
      <w:r>
        <w:t>This distinction is particularly important because the RoyanHealth audit found structurally linked records but substantial gaps in clinical enrichment fields.</w:t>
      </w:r>
    </w:p>
    <w:p>
      <w:pPr>
        <w:pStyle w:val="Heading1"/>
      </w:pPr>
      <w:r>
        <w:t>19. Example: Placeware / Sage</w:t>
      </w:r>
    </w:p>
    <w:p>
      <w:pPr>
        <w:pStyle w:val="ListBullet"/>
      </w:pPr>
      <w:r>
        <w:t>Current stock quantity → live inventory/accounting data.</w:t>
      </w:r>
    </w:p>
    <w:p>
      <w:pPr>
        <w:pStyle w:val="ListBullet"/>
      </w:pPr>
      <w:r>
        <w:t>Transaction status → transaction/ledger source.</w:t>
      </w:r>
    </w:p>
    <w:p>
      <w:pPr>
        <w:pStyle w:val="ListBullet"/>
      </w:pPr>
      <w:r>
        <w:t>Sage report definition → approved Sage report documentation/inventory.</w:t>
      </w:r>
    </w:p>
    <w:p>
      <w:pPr>
        <w:pStyle w:val="ListBullet"/>
      </w:pPr>
      <w:r>
        <w:t>Financial calculation → structured accounting data, then calculate.</w:t>
      </w:r>
    </w:p>
    <w:p>
      <w:pPr>
        <w:pStyle w:val="ListBullet"/>
      </w:pPr>
      <w:r>
        <w:t>What a report contains → report documentation.</w:t>
      </w:r>
    </w:p>
    <w:p>
      <w:pPr>
        <w:pStyle w:val="ListBullet"/>
      </w:pPr>
      <w:r>
        <w:t>Missing report → say it is not currently available rather than generating a plausible report name.</w:t>
      </w:r>
    </w:p>
    <w:p>
      <w:pPr>
        <w:pStyle w:val="Heading1"/>
      </w:pPr>
      <w:r>
        <w:t>20. Example: Atiat / Multi-Company Synbot</w:t>
      </w:r>
    </w:p>
    <w:p>
      <w:r>
        <w:t>For a multi-company environment, source selection must also include tenant and company context. A correct answer from the wrong subsidiary is still a wrong answer.</w:t>
      </w:r>
    </w:p>
    <w:p>
      <w:pPr>
        <w:pStyle w:val="ListBullet"/>
      </w:pPr>
      <w:r>
        <w:t>Resolve organisation/tenant first when the question is company-specific.</w:t>
      </w:r>
    </w:p>
    <w:p>
      <w:pPr>
        <w:pStyle w:val="ListBullet"/>
      </w:pPr>
      <w:r>
        <w:t>Apply the user's role and company permissions before retrieval.</w:t>
      </w:r>
    </w:p>
    <w:p>
      <w:pPr>
        <w:pStyle w:val="ListBullet"/>
      </w:pPr>
      <w:r>
        <w:t>Filter RAG and structured queries by authorised company context.</w:t>
      </w:r>
    </w:p>
    <w:p>
      <w:pPr>
        <w:pStyle w:val="ListBullet"/>
      </w:pPr>
      <w:r>
        <w:t>Do not carry one subsidiary's facts into another subsidiary's conversation.</w:t>
      </w:r>
    </w:p>
    <w:p>
      <w:pPr>
        <w:pStyle w:val="ListBullet"/>
      </w:pPr>
      <w:r>
        <w:t>When the user has not specified a company and multiple companies match, ask one focused clarification question.</w:t>
      </w:r>
    </w:p>
    <w:p>
      <w:pPr>
        <w:pStyle w:val="Heading1"/>
      </w:pPr>
      <w:r>
        <w:t>21. Anti-Patterns</w:t>
      </w:r>
    </w:p>
    <w:p>
      <w:pPr>
        <w:pStyle w:val="ListBullet"/>
      </w:pPr>
      <w:r>
        <w:rPr>
          <w:b/>
        </w:rPr>
        <w:t xml:space="preserve">RAG everywhere — </w:t>
      </w:r>
      <w:r>
        <w:t>Retrieving documents for simple live-data questions adds latency and can produce stale answers.</w:t>
      </w:r>
    </w:p>
    <w:p>
      <w:pPr>
        <w:pStyle w:val="ListBullet"/>
      </w:pPr>
      <w:r>
        <w:rPr>
          <w:b/>
        </w:rPr>
        <w:t xml:space="preserve">Database everywhere — </w:t>
      </w:r>
      <w:r>
        <w:t>Using SQL for policy and conceptual questions creates unnecessary coupling.</w:t>
      </w:r>
    </w:p>
    <w:p>
      <w:pPr>
        <w:pStyle w:val="ListBullet"/>
      </w:pPr>
      <w:r>
        <w:rPr>
          <w:b/>
        </w:rPr>
        <w:t xml:space="preserve">LLM as database — </w:t>
      </w:r>
      <w:r>
        <w:t>Allowing the model to invent current enterprise facts destroys trust.</w:t>
      </w:r>
    </w:p>
    <w:p>
      <w:pPr>
        <w:pStyle w:val="ListBullet"/>
      </w:pPr>
      <w:r>
        <w:rPr>
          <w:b/>
        </w:rPr>
        <w:t xml:space="preserve">Tool dumping — </w:t>
      </w:r>
      <w:r>
        <w:t>Giving the model dozens of irrelevant tools increases selection errors and context size.</w:t>
      </w:r>
    </w:p>
    <w:p>
      <w:pPr>
        <w:pStyle w:val="ListBullet"/>
      </w:pPr>
      <w:r>
        <w:rPr>
          <w:b/>
        </w:rPr>
        <w:t xml:space="preserve">Prompt dumping — </w:t>
      </w:r>
      <w:r>
        <w:t>Putting every policy and document into the system prompt makes maintenance and context management difficult.</w:t>
      </w:r>
    </w:p>
    <w:p>
      <w:pPr>
        <w:pStyle w:val="ListBullet"/>
      </w:pPr>
      <w:r>
        <w:rPr>
          <w:b/>
        </w:rPr>
        <w:t xml:space="preserve">Silent conflict resolution — </w:t>
      </w:r>
      <w:r>
        <w:t>Choosing one conflicting source without a defined rule hides data quality problems.</w:t>
      </w:r>
    </w:p>
    <w:p>
      <w:pPr>
        <w:pStyle w:val="ListBullet"/>
      </w:pPr>
      <w:r>
        <w:rPr>
          <w:b/>
        </w:rPr>
        <w:t xml:space="preserve">Over-agentic design — </w:t>
      </w:r>
      <w:r>
        <w:t>Adding loops and multiple agents before simpler retrieval/tool workflows are measured.</w:t>
      </w:r>
    </w:p>
    <w:p>
      <w:pPr>
        <w:pStyle w:val="Heading1"/>
      </w:pPr>
      <w:r>
        <w:t>22. Implementation Checklist</w:t>
      </w:r>
    </w:p>
    <w:p>
      <w:pPr>
        <w:pStyle w:val="ListNumber"/>
      </w:pPr>
      <w:r>
        <w:t>Classify every Synbot capability as conversation, retrieval, structured data, action or mixed.</w:t>
      </w:r>
    </w:p>
    <w:p>
      <w:pPr>
        <w:pStyle w:val="ListNumber"/>
      </w:pPr>
      <w:r>
        <w:t>Define a source-of-truth hierarchy for each domain.</w:t>
      </w:r>
    </w:p>
    <w:p>
      <w:pPr>
        <w:pStyle w:val="ListNumber"/>
      </w:pPr>
      <w:r>
        <w:t>Define tenant/company filters where applicable.</w:t>
      </w:r>
    </w:p>
    <w:p>
      <w:pPr>
        <w:pStyle w:val="ListNumber"/>
      </w:pPr>
      <w:r>
        <w:t>Define user-role permissions.</w:t>
      </w:r>
    </w:p>
    <w:p>
      <w:pPr>
        <w:pStyle w:val="ListNumber"/>
      </w:pPr>
      <w:r>
        <w:t>Create narrow, well-described tools.</w:t>
      </w:r>
    </w:p>
    <w:p>
      <w:pPr>
        <w:pStyle w:val="ListNumber"/>
      </w:pPr>
      <w:r>
        <w:t>Add explicit grounding and fallback instructions.</w:t>
      </w:r>
    </w:p>
    <w:p>
      <w:pPr>
        <w:pStyle w:val="ListNumber"/>
      </w:pPr>
      <w:r>
        <w:t>Add conflict-handling rules.</w:t>
      </w:r>
    </w:p>
    <w:p>
      <w:pPr>
        <w:pStyle w:val="ListNumber"/>
      </w:pPr>
      <w:r>
        <w:t>Implement a validation gate before response generation.</w:t>
      </w:r>
    </w:p>
    <w:p>
      <w:pPr>
        <w:pStyle w:val="ListNumber"/>
      </w:pPr>
      <w:r>
        <w:t>Implement fast and deep paths.</w:t>
      </w:r>
    </w:p>
    <w:p>
      <w:pPr>
        <w:pStyle w:val="ListNumber"/>
      </w:pPr>
      <w:r>
        <w:t>Log source selection, retrieval/tool calls, latency and outcome for evaluation.</w:t>
      </w:r>
    </w:p>
    <w:p>
      <w:pPr>
        <w:pStyle w:val="ListNumber"/>
      </w:pPr>
      <w:r>
        <w:t>Create representative test questions for each source-selection path.</w:t>
      </w:r>
    </w:p>
    <w:p>
      <w:pPr>
        <w:pStyle w:val="ListNumber"/>
      </w:pPr>
      <w:r>
        <w:t>Version source configuration, prompts and evaluation results together.</w:t>
      </w:r>
    </w:p>
    <w:p>
      <w:pPr>
        <w:pStyle w:val="Heading1"/>
      </w:pPr>
      <w:r>
        <w:t>23. Minimum Evaluation Set</w:t>
      </w:r>
    </w:p>
    <w:p>
      <w:r>
        <w:t>Every deployment should include at least these test categories:</w:t>
      </w:r>
    </w:p>
    <w:p>
      <w:pPr>
        <w:pStyle w:val="ListBullet"/>
      </w:pPr>
      <w:r>
        <w:t>Direct live-data lookup.</w:t>
      </w:r>
    </w:p>
    <w:p>
      <w:pPr>
        <w:pStyle w:val="ListBullet"/>
      </w:pPr>
      <w:r>
        <w:t>Document knowledge lookup.</w:t>
      </w:r>
    </w:p>
    <w:p>
      <w:pPr>
        <w:pStyle w:val="ListBullet"/>
      </w:pPr>
      <w:r>
        <w:t>Generic knowledge question.</w:t>
      </w:r>
    </w:p>
    <w:p>
      <w:pPr>
        <w:pStyle w:val="ListBullet"/>
      </w:pPr>
      <w:r>
        <w:t>Exact identifier lookup.</w:t>
      </w:r>
    </w:p>
    <w:p>
      <w:pPr>
        <w:pStyle w:val="ListBullet"/>
      </w:pPr>
      <w:r>
        <w:t>Missing record.</w:t>
      </w:r>
    </w:p>
    <w:p>
      <w:pPr>
        <w:pStyle w:val="ListBullet"/>
      </w:pPr>
      <w:r>
        <w:t>Partial record.</w:t>
      </w:r>
    </w:p>
    <w:p>
      <w:pPr>
        <w:pStyle w:val="ListBullet"/>
      </w:pPr>
      <w:r>
        <w:t>Conflicting records.</w:t>
      </w:r>
    </w:p>
    <w:p>
      <w:pPr>
        <w:pStyle w:val="ListBullet"/>
      </w:pPr>
      <w:r>
        <w:t>Ambiguous identity.</w:t>
      </w:r>
    </w:p>
    <w:p>
      <w:pPr>
        <w:pStyle w:val="ListBullet"/>
      </w:pPr>
      <w:r>
        <w:t>Unauthorised request.</w:t>
      </w:r>
    </w:p>
    <w:p>
      <w:pPr>
        <w:pStyle w:val="ListBullet"/>
      </w:pPr>
      <w:r>
        <w:t>Action requiring confirmation.</w:t>
      </w:r>
    </w:p>
    <w:p>
      <w:pPr>
        <w:pStyle w:val="ListBullet"/>
      </w:pPr>
      <w:r>
        <w:t>Multi-company/tenant request.</w:t>
      </w:r>
    </w:p>
    <w:p>
      <w:pPr>
        <w:pStyle w:val="ListBullet"/>
      </w:pPr>
      <w:r>
        <w:t>Mixed question requiring multiple sources.</w:t>
      </w:r>
    </w:p>
    <w:p>
      <w:pPr>
        <w:pStyle w:val="ListBullet"/>
      </w:pPr>
      <w:r>
        <w:t>Tool failure.</w:t>
      </w:r>
    </w:p>
    <w:p>
      <w:pPr>
        <w:pStyle w:val="ListBullet"/>
      </w:pPr>
      <w:r>
        <w:t>Retrieval failure.</w:t>
      </w:r>
    </w:p>
    <w:p>
      <w:pPr>
        <w:pStyle w:val="ListBullet"/>
      </w:pPr>
      <w:r>
        <w:t>Prompt-injection content inside retrieved documents.</w:t>
      </w:r>
    </w:p>
    <w:p>
      <w:pPr>
        <w:pStyle w:val="Heading1"/>
      </w:pPr>
      <w:r>
        <w:t>24. Final Rule</w:t>
      </w:r>
    </w:p>
    <w:p>
      <w:r>
        <w:rPr>
          <w:b/>
        </w:rPr>
        <w:t>Choose the right evidence first. Then speak with confidence.</w:t>
      </w:r>
    </w:p>
    <w:p>
      <w:r>
        <w:t>The conversational layer cannot compensate for poor source selection. Conversely, strong source selection gives the language model the evidence needed to respond naturally and decisively. The Synbot architecture should therefore treat grounding, retrieval, structured tools and response composition as one connected intelligence system.</w:t>
      </w:r>
    </w:p>
    <w:p>
      <w:pPr>
        <w:pStyle w:val="Heading1"/>
      </w:pPr>
      <w:r>
        <w:t>25. Research Basis</w:t>
      </w:r>
    </w:p>
    <w:p>
      <w:r>
        <w:t>This framework is based on current engineering guidance for RAG and agentic systems. Microsoft recommends explicit grounding, fallback behaviour, conflict handling, scope management and evaluation for RAG systems. Anthropic recommends simple, composable agent architectures, modular tools and adding complexity only when it demonstrably improves outcomes.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Synbot Intelligence &amp; Grounding Framework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