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Synbot Operations, Observability &amp; Lifecycle Framework</w:t>
      </w:r>
    </w:p>
    <w:p>
      <w:pPr>
        <w:jc w:val="center"/>
      </w:pPr>
      <w:r>
        <w:rPr>
          <w:i/>
          <w:sz w:val="22"/>
        </w:rPr>
        <w:t>Version 1.0 — Production Operations Layer</w:t>
      </w:r>
    </w:p>
    <w:p>
      <w:r>
        <w:t>Purpose: define how Synbot is operated as a production platform after architecture, security, integration, data, agent, UX, and evaluation design are in place.</w:t>
      </w:r>
    </w:p>
    <w:p>
      <w:r>
        <w:t>Core principle: Synbot should be designed to operate reliably, explain its operational state, recover safely, and evolve without destabilising every client deployment.</w:t>
      </w:r>
    </w:p>
    <w:p>
      <w:pPr>
        <w:pStyle w:val="Heading1"/>
      </w:pPr>
      <w:r>
        <w:t>1. Operating Model</w:t>
      </w:r>
    </w:p>
    <w:p>
      <w:r>
        <w:t>Synbot is a platform with shared core capabilities and configurable client/domain components. Operations should therefore distinguish between platform-wide services and client-specific services.</w:t>
      </w:r>
    </w:p>
    <w:p>
      <w:pPr>
        <w:pStyle w:val="ListBullet"/>
      </w:pPr>
      <w:r>
        <w:t>Platform services — gateway, authentication, orchestration, retrieval, evaluation, telemetry and shared configuration.</w:t>
      </w:r>
    </w:p>
    <w:p>
      <w:pPr>
        <w:pStyle w:val="ListBullet"/>
      </w:pPr>
      <w:r>
        <w:t>Client services — integrations, domain packs, company configurations, workflows and client knowledge.</w:t>
      </w:r>
    </w:p>
    <w:p>
      <w:pPr>
        <w:pStyle w:val="ListBullet"/>
      </w:pPr>
      <w:r>
        <w:t>External dependencies — databases, APIs, ERP/HMS systems, model providers, storage and third-party services.</w:t>
      </w:r>
    </w:p>
    <w:p>
      <w:pPr>
        <w:pStyle w:val="ListBullet"/>
      </w:pPr>
      <w:r>
        <w:t>Operational responsibility — define who can deploy, configure, approve, support, suspend and recover each component.</w:t>
      </w:r>
    </w:p>
    <w:p>
      <w:pPr>
        <w:pStyle w:val="Heading1"/>
      </w:pPr>
      <w:r>
        <w:t>2. Production Reference Flow</w:t>
      </w:r>
    </w:p>
    <w:p>
      <w:r>
        <w:t>User → Experience Layer → Gateway → Identity/Context → Router → Evidence/Tools/Integrations → Reasoning → Response Guard → Telemetry → User</w:t>
      </w:r>
    </w:p>
    <w:p>
      <w:r>
        <w:t>Operationally, every production request should be traceable across this path through a correlation/request ID without exposing internal implementation details to the user.</w:t>
      </w:r>
    </w:p>
    <w:p>
      <w:pPr>
        <w:pStyle w:val="Heading1"/>
      </w:pPr>
      <w:r>
        <w:t>3. Environment Strategy</w:t>
      </w:r>
    </w:p>
    <w:p>
      <w:pPr>
        <w:pStyle w:val="ListBullet"/>
      </w:pPr>
      <w:r>
        <w:t>Development — rapid experimentation and local integration testing.</w:t>
      </w:r>
    </w:p>
    <w:p>
      <w:pPr>
        <w:pStyle w:val="ListBullet"/>
      </w:pPr>
      <w:r>
        <w:t>Test — controlled automated and manual validation.</w:t>
      </w:r>
    </w:p>
    <w:p>
      <w:pPr>
        <w:pStyle w:val="ListBullet"/>
      </w:pPr>
      <w:r>
        <w:t>Staging/UAT — client-like configuration and realistic integration testing.</w:t>
      </w:r>
    </w:p>
    <w:p>
      <w:pPr>
        <w:pStyle w:val="ListBullet"/>
      </w:pPr>
      <w:r>
        <w:t>Production — controlled releases with monitoring, rollback and audit.</w:t>
      </w:r>
    </w:p>
    <w:p>
      <w:pPr>
        <w:pStyle w:val="ListBullet"/>
      </w:pPr>
      <w:r>
        <w:t>Optional sandbox — safe demonstrations or integration experiments that must not affect production records.</w:t>
      </w:r>
    </w:p>
    <w:p>
      <w:r>
        <w:t>Production credentials, client data and production integrations should never be casually reused in development.</w:t>
      </w:r>
    </w:p>
    <w:p>
      <w:pPr>
        <w:pStyle w:val="Heading1"/>
      </w:pPr>
      <w:r>
        <w:t>4. Deployment Architecture</w:t>
      </w:r>
    </w:p>
    <w:p>
      <w:r>
        <w:t>Synbot should be deployable as independently managed services where justified, while avoiding unnecessary microservice complexity.</w:t>
      </w:r>
    </w:p>
    <w:p>
      <w:pPr>
        <w:pStyle w:val="ListBullet"/>
      </w:pPr>
      <w:r>
        <w:t>Frontend/Experience service</w:t>
      </w:r>
    </w:p>
    <w:p>
      <w:pPr>
        <w:pStyle w:val="ListBullet"/>
      </w:pPr>
      <w:r>
        <w:t>Synbot API/Gateway</w:t>
      </w:r>
    </w:p>
    <w:p>
      <w:pPr>
        <w:pStyle w:val="ListBullet"/>
      </w:pPr>
      <w:r>
        <w:t>Orchestration and agent services</w:t>
      </w:r>
    </w:p>
    <w:p>
      <w:pPr>
        <w:pStyle w:val="ListBullet"/>
      </w:pPr>
      <w:r>
        <w:t>Retrieval/data services</w:t>
      </w:r>
    </w:p>
    <w:p>
      <w:pPr>
        <w:pStyle w:val="ListBullet"/>
      </w:pPr>
      <w:r>
        <w:t>Integration services</w:t>
      </w:r>
    </w:p>
    <w:p>
      <w:pPr>
        <w:pStyle w:val="ListBullet"/>
      </w:pPr>
      <w:r>
        <w:t>Background workers</w:t>
      </w:r>
    </w:p>
    <w:p>
      <w:pPr>
        <w:pStyle w:val="ListBullet"/>
      </w:pPr>
      <w:r>
        <w:t>Database and vector storage</w:t>
      </w:r>
    </w:p>
    <w:p>
      <w:pPr>
        <w:pStyle w:val="ListBullet"/>
      </w:pPr>
      <w:r>
        <w:t>Telemetry/observability services</w:t>
      </w:r>
    </w:p>
    <w:p>
      <w:pPr>
        <w:pStyle w:val="ListBullet"/>
      </w:pPr>
      <w:r>
        <w:t>Optional queue/cache</w:t>
      </w:r>
    </w:p>
    <w:p>
      <w:r>
        <w:t>The exact deployment shape may remain Docker Compose for smaller client environments and evolve toward container orchestration when operational scale requires it.</w:t>
      </w:r>
    </w:p>
    <w:p>
      <w:pPr>
        <w:pStyle w:val="Heading1"/>
      </w:pPr>
      <w:r>
        <w:t>5. Configuration Management</w:t>
      </w:r>
    </w:p>
    <w:p>
      <w:r>
        <w:t>Configuration is part of the product and must be versioned.</w:t>
      </w:r>
    </w:p>
    <w:p>
      <w:pPr>
        <w:pStyle w:val="ListBullet"/>
      </w:pPr>
      <w:r>
        <w:t>Domain configuration</w:t>
      </w:r>
    </w:p>
    <w:p>
      <w:pPr>
        <w:pStyle w:val="ListBullet"/>
      </w:pPr>
      <w:r>
        <w:t>Client/company configuration</w:t>
      </w:r>
    </w:p>
    <w:p>
      <w:pPr>
        <w:pStyle w:val="ListBullet"/>
      </w:pPr>
      <w:r>
        <w:t>Role and permission configuration</w:t>
      </w:r>
    </w:p>
    <w:p>
      <w:pPr>
        <w:pStyle w:val="ListBullet"/>
      </w:pPr>
      <w:r>
        <w:t>Integration registry</w:t>
      </w:r>
    </w:p>
    <w:p>
      <w:pPr>
        <w:pStyle w:val="ListBullet"/>
      </w:pPr>
      <w:r>
        <w:t>Tool availability</w:t>
      </w:r>
    </w:p>
    <w:p>
      <w:pPr>
        <w:pStyle w:val="ListBullet"/>
      </w:pPr>
      <w:r>
        <w:t>Feature flags</w:t>
      </w:r>
    </w:p>
    <w:p>
      <w:pPr>
        <w:pStyle w:val="ListBullet"/>
      </w:pPr>
      <w:r>
        <w:t>Prompt versions</w:t>
      </w:r>
    </w:p>
    <w:p>
      <w:pPr>
        <w:pStyle w:val="ListBullet"/>
      </w:pPr>
      <w:r>
        <w:t>Knowledge-source configuration</w:t>
      </w:r>
    </w:p>
    <w:p>
      <w:pPr>
        <w:pStyle w:val="ListBullet"/>
      </w:pPr>
      <w:r>
        <w:t>Evaluation configuration</w:t>
      </w:r>
    </w:p>
    <w:p>
      <w:r>
        <w:t>Secrets are configuration inputs but must be stored through a secure secret-management mechanism rather than ordinary source-controlled configuration.</w:t>
      </w:r>
    </w:p>
    <w:p>
      <w:pPr>
        <w:pStyle w:val="Heading1"/>
      </w:pPr>
      <w:r>
        <w:t>6. Release Management</w:t>
      </w:r>
    </w:p>
    <w:p>
      <w:r>
        <w:t>A release should be treated as a controlled change to a platform, configuration, integration, prompt, model, workflow, or knowledge source.</w:t>
      </w:r>
    </w:p>
    <w:p>
      <w:pPr>
        <w:pStyle w:val="ListNumber"/>
      </w:pPr>
      <w:r>
        <w:t>Identify the change.</w:t>
      </w:r>
    </w:p>
    <w:p>
      <w:pPr>
        <w:pStyle w:val="ListNumber"/>
      </w:pPr>
      <w:r>
        <w:t>Classify its risk and affected clients/components.</w:t>
      </w:r>
    </w:p>
    <w:p>
      <w:pPr>
        <w:pStyle w:val="ListNumber"/>
      </w:pPr>
      <w:r>
        <w:t>Run automated tests.</w:t>
      </w:r>
    </w:p>
    <w:p>
      <w:pPr>
        <w:pStyle w:val="ListNumber"/>
      </w:pPr>
      <w:r>
        <w:t>Run relevant evaluation tests.</w:t>
      </w:r>
    </w:p>
    <w:p>
      <w:pPr>
        <w:pStyle w:val="ListNumber"/>
      </w:pPr>
      <w:r>
        <w:t>Validate security and permission impact.</w:t>
      </w:r>
    </w:p>
    <w:p>
      <w:pPr>
        <w:pStyle w:val="ListNumber"/>
      </w:pPr>
      <w:r>
        <w:t>Validate integrations.</w:t>
      </w:r>
    </w:p>
    <w:p>
      <w:pPr>
        <w:pStyle w:val="ListNumber"/>
      </w:pPr>
      <w:r>
        <w:t>Deploy to staging/UAT where applicable.</w:t>
      </w:r>
    </w:p>
    <w:p>
      <w:pPr>
        <w:pStyle w:val="ListNumber"/>
      </w:pPr>
      <w:r>
        <w:t>Approve production release.</w:t>
      </w:r>
    </w:p>
    <w:p>
      <w:pPr>
        <w:pStyle w:val="ListNumber"/>
      </w:pPr>
      <w:r>
        <w:t>Deploy with version tracking.</w:t>
      </w:r>
    </w:p>
    <w:p>
      <w:pPr>
        <w:pStyle w:val="ListNumber"/>
      </w:pPr>
      <w:r>
        <w:t>Monitor post-release behaviour.</w:t>
      </w:r>
    </w:p>
    <w:p>
      <w:pPr>
        <w:pStyle w:val="ListNumber"/>
      </w:pPr>
      <w:r>
        <w:t>Rollback or remediate if release criteria are not met.</w:t>
      </w:r>
    </w:p>
    <w:p>
      <w:pPr>
        <w:pStyle w:val="Heading1"/>
      </w:pPr>
      <w:r>
        <w:t>7. Change Risk Levels</w:t>
      </w:r>
    </w:p>
    <w:p>
      <w:pPr>
        <w:pStyle w:val="ListBullet"/>
      </w:pPr>
      <w:r>
        <w:t>Low — cosmetic UI or non-material configuration change.</w:t>
      </w:r>
    </w:p>
    <w:p>
      <w:pPr>
        <w:pStyle w:val="ListBullet"/>
      </w:pPr>
      <w:r>
        <w:t>Moderate — prompt, retrieval, workflow or integration behaviour change.</w:t>
      </w:r>
    </w:p>
    <w:p>
      <w:pPr>
        <w:pStyle w:val="ListBullet"/>
      </w:pPr>
      <w:r>
        <w:t>High — authentication, permissions, financial/clinical workflows, database migrations or security boundary changes.</w:t>
      </w:r>
    </w:p>
    <w:p>
      <w:pPr>
        <w:pStyle w:val="ListBullet"/>
      </w:pPr>
      <w:r>
        <w:t>Critical — changes capable of affecting multiple clients, production data integrity or platform availability.</w:t>
      </w:r>
    </w:p>
    <w:p>
      <w:r>
        <w:t>Higher-risk changes require stronger review, testing and rollback preparation.</w:t>
      </w:r>
    </w:p>
    <w:p>
      <w:pPr>
        <w:pStyle w:val="Heading1"/>
      </w:pPr>
      <w:r>
        <w:t>8. Versioning</w:t>
      </w:r>
    </w:p>
    <w:p>
      <w:r>
        <w:t>At minimum, track versions for:</w:t>
      </w:r>
    </w:p>
    <w:p>
      <w:pPr>
        <w:pStyle w:val="ListBullet"/>
      </w:pPr>
      <w:r>
        <w:t>Synbot core</w:t>
      </w:r>
    </w:p>
    <w:p>
      <w:pPr>
        <w:pStyle w:val="ListBullet"/>
      </w:pPr>
      <w:r>
        <w:t>Domain packs</w:t>
      </w:r>
    </w:p>
    <w:p>
      <w:pPr>
        <w:pStyle w:val="ListBullet"/>
      </w:pPr>
      <w:r>
        <w:t>Client/company configuration</w:t>
      </w:r>
    </w:p>
    <w:p>
      <w:pPr>
        <w:pStyle w:val="ListBullet"/>
      </w:pPr>
      <w:r>
        <w:t>Prompts</w:t>
      </w:r>
    </w:p>
    <w:p>
      <w:pPr>
        <w:pStyle w:val="ListBullet"/>
      </w:pPr>
      <w:r>
        <w:t>Models/model providers</w:t>
      </w:r>
    </w:p>
    <w:p>
      <w:pPr>
        <w:pStyle w:val="ListBullet"/>
      </w:pPr>
      <w:r>
        <w:t>Integration adapters</w:t>
      </w:r>
    </w:p>
    <w:p>
      <w:pPr>
        <w:pStyle w:val="ListBullet"/>
      </w:pPr>
      <w:r>
        <w:t>Database schema</w:t>
      </w:r>
    </w:p>
    <w:p>
      <w:pPr>
        <w:pStyle w:val="ListBullet"/>
      </w:pPr>
      <w:r>
        <w:t>Retrieval/index configuration</w:t>
      </w:r>
    </w:p>
    <w:p>
      <w:pPr>
        <w:pStyle w:val="ListBullet"/>
      </w:pPr>
      <w:r>
        <w:t>Workflow definitions</w:t>
      </w:r>
    </w:p>
    <w:p>
      <w:pPr>
        <w:pStyle w:val="ListBullet"/>
      </w:pPr>
      <w:r>
        <w:t>Evaluation suite</w:t>
      </w:r>
    </w:p>
    <w:p>
      <w:r>
        <w:t>A response or action should be traceable to the relevant versions when operationally necessary.</w:t>
      </w:r>
    </w:p>
    <w:p>
      <w:pPr>
        <w:pStyle w:val="Heading1"/>
      </w:pPr>
      <w:r>
        <w:t>9. Observability Model</w:t>
      </w:r>
    </w:p>
    <w:p>
      <w:r>
        <w:t>Observability should answer three questions: Is Synbot available? Is it behaving correctly? Why did a particular interaction behave that way?</w:t>
      </w:r>
    </w:p>
    <w:p>
      <w:pPr>
        <w:pStyle w:val="ListBullet"/>
      </w:pPr>
      <w:r>
        <w:t>Metrics — quantitative health and performance.</w:t>
      </w:r>
    </w:p>
    <w:p>
      <w:pPr>
        <w:pStyle w:val="ListBullet"/>
      </w:pPr>
      <w:r>
        <w:t>Logs — structured operational events.</w:t>
      </w:r>
    </w:p>
    <w:p>
      <w:pPr>
        <w:pStyle w:val="ListBullet"/>
      </w:pPr>
      <w:r>
        <w:t>Traces — request flow across services.</w:t>
      </w:r>
    </w:p>
    <w:p>
      <w:pPr>
        <w:pStyle w:val="ListBullet"/>
      </w:pPr>
      <w:r>
        <w:t>Evaluation signals — quality and grounding behaviour.</w:t>
      </w:r>
    </w:p>
    <w:p>
      <w:pPr>
        <w:pStyle w:val="ListBullet"/>
      </w:pPr>
      <w:r>
        <w:t>Audit records — accountable user/system actions.</w:t>
      </w:r>
    </w:p>
    <w:p>
      <w:pPr>
        <w:pStyle w:val="Heading1"/>
      </w:pPr>
      <w:r>
        <w:t>10. Core Operational Metrics</w:t>
      </w:r>
    </w:p>
    <w:p>
      <w:pPr>
        <w:pStyle w:val="ListBullet"/>
      </w:pPr>
      <w:r>
        <w:t>Request volume</w:t>
      </w:r>
    </w:p>
    <w:p>
      <w:pPr>
        <w:pStyle w:val="ListBullet"/>
      </w:pPr>
      <w:r>
        <w:t>Success/error rate</w:t>
      </w:r>
    </w:p>
    <w:p>
      <w:pPr>
        <w:pStyle w:val="ListBullet"/>
      </w:pPr>
      <w:r>
        <w:t>Response latency</w:t>
      </w:r>
    </w:p>
    <w:p>
      <w:pPr>
        <w:pStyle w:val="ListBullet"/>
      </w:pPr>
      <w:r>
        <w:t>Time to first response/token where streaming is used</w:t>
      </w:r>
    </w:p>
    <w:p>
      <w:pPr>
        <w:pStyle w:val="ListBullet"/>
      </w:pPr>
      <w:r>
        <w:t>Tool-call latency</w:t>
      </w:r>
    </w:p>
    <w:p>
      <w:pPr>
        <w:pStyle w:val="ListBullet"/>
      </w:pPr>
      <w:r>
        <w:t>Integration failure rate</w:t>
      </w:r>
    </w:p>
    <w:p>
      <w:pPr>
        <w:pStyle w:val="ListBullet"/>
      </w:pPr>
      <w:r>
        <w:t>Retrieval latency</w:t>
      </w:r>
    </w:p>
    <w:p>
      <w:pPr>
        <w:pStyle w:val="ListBullet"/>
      </w:pPr>
      <w:r>
        <w:t>Retrieval failure rate</w:t>
      </w:r>
    </w:p>
    <w:p>
      <w:pPr>
        <w:pStyle w:val="ListBullet"/>
      </w:pPr>
      <w:r>
        <w:t>Model/provider latency</w:t>
      </w:r>
    </w:p>
    <w:p>
      <w:pPr>
        <w:pStyle w:val="ListBullet"/>
      </w:pPr>
      <w:r>
        <w:t>Queue depth</w:t>
      </w:r>
    </w:p>
    <w:p>
      <w:pPr>
        <w:pStyle w:val="ListBullet"/>
      </w:pPr>
      <w:r>
        <w:t>Worker failures</w:t>
      </w:r>
    </w:p>
    <w:p>
      <w:pPr>
        <w:pStyle w:val="ListBullet"/>
      </w:pPr>
      <w:r>
        <w:t>Database health</w:t>
      </w:r>
    </w:p>
    <w:p>
      <w:pPr>
        <w:pStyle w:val="ListBullet"/>
      </w:pPr>
      <w:r>
        <w:t>Cache performance where applicable</w:t>
      </w:r>
    </w:p>
    <w:p>
      <w:pPr>
        <w:pStyle w:val="ListBullet"/>
      </w:pPr>
      <w:r>
        <w:t>Resource utilisation</w:t>
      </w:r>
    </w:p>
    <w:p>
      <w:pPr>
        <w:pStyle w:val="Heading1"/>
      </w:pPr>
      <w:r>
        <w:t>11. Intelligence and Quality Metrics</w:t>
      </w:r>
    </w:p>
    <w:p>
      <w:pPr>
        <w:pStyle w:val="ListBullet"/>
      </w:pPr>
      <w:r>
        <w:t>Grounded-answer rate</w:t>
      </w:r>
    </w:p>
    <w:p>
      <w:pPr>
        <w:pStyle w:val="ListBullet"/>
      </w:pPr>
      <w:r>
        <w:t>Unsupported-claim rate</w:t>
      </w:r>
    </w:p>
    <w:p>
      <w:pPr>
        <w:pStyle w:val="ListBullet"/>
      </w:pPr>
      <w:r>
        <w:t>Retrieval relevance</w:t>
      </w:r>
    </w:p>
    <w:p>
      <w:pPr>
        <w:pStyle w:val="ListBullet"/>
      </w:pPr>
      <w:r>
        <w:t>Tool-selection accuracy</w:t>
      </w:r>
    </w:p>
    <w:p>
      <w:pPr>
        <w:pStyle w:val="ListBullet"/>
      </w:pPr>
      <w:r>
        <w:t>Action verification rate</w:t>
      </w:r>
    </w:p>
    <w:p>
      <w:pPr>
        <w:pStyle w:val="ListBullet"/>
      </w:pPr>
      <w:r>
        <w:t>Clarification rate</w:t>
      </w:r>
    </w:p>
    <w:p>
      <w:pPr>
        <w:pStyle w:val="ListBullet"/>
      </w:pPr>
      <w:r>
        <w:t>Escalation rate</w:t>
      </w:r>
    </w:p>
    <w:p>
      <w:pPr>
        <w:pStyle w:val="ListBullet"/>
      </w:pPr>
      <w:r>
        <w:t>Evaluation regression rate</w:t>
      </w:r>
    </w:p>
    <w:p>
      <w:pPr>
        <w:pStyle w:val="ListBullet"/>
      </w:pPr>
      <w:r>
        <w:t>User correction rate</w:t>
      </w:r>
    </w:p>
    <w:p>
      <w:pPr>
        <w:pStyle w:val="ListBullet"/>
      </w:pPr>
      <w:r>
        <w:t>Human-review failure rate</w:t>
      </w:r>
    </w:p>
    <w:p>
      <w:r>
        <w:t>Operational health and conversational quality are different dimensions. A system can be technically available while producing poor answers, so both must be monitored.</w:t>
      </w:r>
    </w:p>
    <w:p>
      <w:pPr>
        <w:pStyle w:val="Heading1"/>
      </w:pPr>
      <w:r>
        <w:t>12. Request Trace</w:t>
      </w:r>
    </w:p>
    <w:p>
      <w:r>
        <w:t>A production request should have a correlation chain such as:</w:t>
      </w:r>
    </w:p>
    <w:p>
      <w:r>
        <w:t>request_id → session_id → user_id/role → tenant/company → route → retrieval/tool calls → integration calls → model call → response → audit/evaluation events</w:t>
      </w:r>
    </w:p>
    <w:p>
      <w:r>
        <w:t>Sensitive values should be masked or excluded from logs.</w:t>
      </w:r>
    </w:p>
    <w:p>
      <w:pPr>
        <w:pStyle w:val="Heading1"/>
      </w:pPr>
      <w:r>
        <w:t>13. Logging Standard</w:t>
      </w:r>
    </w:p>
    <w:p>
      <w:pPr>
        <w:pStyle w:val="ListBullet"/>
      </w:pPr>
      <w:r>
        <w:t>Use structured logs rather than unstructured text wherever practical.</w:t>
      </w:r>
    </w:p>
    <w:p>
      <w:pPr>
        <w:pStyle w:val="ListBullet"/>
      </w:pPr>
      <w:r>
        <w:t>Include timestamp, service, severity and correlation ID.</w:t>
      </w:r>
    </w:p>
    <w:p>
      <w:pPr>
        <w:pStyle w:val="ListBullet"/>
      </w:pPr>
      <w:r>
        <w:t>Record operation outcome.</w:t>
      </w:r>
    </w:p>
    <w:p>
      <w:pPr>
        <w:pStyle w:val="ListBullet"/>
      </w:pPr>
      <w:r>
        <w:t>Record integration/service identifiers.</w:t>
      </w:r>
    </w:p>
    <w:p>
      <w:pPr>
        <w:pStyle w:val="ListBullet"/>
      </w:pPr>
      <w:r>
        <w:t>Do not log passwords, API keys, tokens or unnecessary sensitive records.</w:t>
      </w:r>
    </w:p>
    <w:p>
      <w:pPr>
        <w:pStyle w:val="ListBullet"/>
      </w:pPr>
      <w:r>
        <w:t>Separate application logs from audit records.</w:t>
      </w:r>
    </w:p>
    <w:p>
      <w:pPr>
        <w:pStyle w:val="ListBullet"/>
      </w:pPr>
      <w:r>
        <w:t>Use retention periods appropriate to client and regulatory requirements.</w:t>
      </w:r>
    </w:p>
    <w:p>
      <w:pPr>
        <w:pStyle w:val="Heading1"/>
      </w:pPr>
      <w:r>
        <w:t>14. Alerting</w:t>
      </w:r>
    </w:p>
    <w:p>
      <w:r>
        <w:t>Alerts should be tied to actionable conditions rather than every error.</w:t>
      </w:r>
    </w:p>
    <w:p>
      <w:pPr>
        <w:pStyle w:val="ListBullet"/>
      </w:pPr>
      <w:r>
        <w:t>Production service unavailable</w:t>
      </w:r>
    </w:p>
    <w:p>
      <w:pPr>
        <w:pStyle w:val="ListBullet"/>
      </w:pPr>
      <w:r>
        <w:t>Sustained elevated error rate</w:t>
      </w:r>
    </w:p>
    <w:p>
      <w:pPr>
        <w:pStyle w:val="ListBullet"/>
      </w:pPr>
      <w:r>
        <w:t>Integration unavailable</w:t>
      </w:r>
    </w:p>
    <w:p>
      <w:pPr>
        <w:pStyle w:val="ListBullet"/>
      </w:pPr>
      <w:r>
        <w:t>Authentication failure spike</w:t>
      </w:r>
    </w:p>
    <w:p>
      <w:pPr>
        <w:pStyle w:val="ListBullet"/>
      </w:pPr>
      <w:r>
        <w:t>Queue backlog exceeds threshold</w:t>
      </w:r>
    </w:p>
    <w:p>
      <w:pPr>
        <w:pStyle w:val="ListBullet"/>
      </w:pPr>
      <w:r>
        <w:t>Database/storage threshold reached</w:t>
      </w:r>
    </w:p>
    <w:p>
      <w:pPr>
        <w:pStyle w:val="ListBullet"/>
      </w:pPr>
      <w:r>
        <w:t>Repeated failed deployment</w:t>
      </w:r>
    </w:p>
    <w:p>
      <w:pPr>
        <w:pStyle w:val="ListBullet"/>
      </w:pPr>
      <w:r>
        <w:t>Critical evaluation regression</w:t>
      </w:r>
    </w:p>
    <w:p>
      <w:pPr>
        <w:pStyle w:val="ListBullet"/>
      </w:pPr>
      <w:r>
        <w:t>Security event</w:t>
      </w:r>
    </w:p>
    <w:p>
      <w:pPr>
        <w:pStyle w:val="ListBullet"/>
      </w:pPr>
      <w:r>
        <w:t>Data synchronisation failure</w:t>
      </w:r>
    </w:p>
    <w:p>
      <w:pPr>
        <w:pStyle w:val="ListBullet"/>
      </w:pPr>
      <w:r>
        <w:t>Unexpected cross-company access attempt</w:t>
      </w:r>
    </w:p>
    <w:p>
      <w:pPr>
        <w:pStyle w:val="Heading1"/>
      </w:pPr>
      <w:r>
        <w:t>15. Health Checks</w:t>
      </w:r>
    </w:p>
    <w:p>
      <w:r>
        <w:t>Every production service should expose appropriate health signals.</w:t>
      </w:r>
    </w:p>
    <w:p>
      <w:pPr>
        <w:pStyle w:val="ListBullet"/>
      </w:pPr>
      <w:r>
        <w:t>Liveness — process is running.</w:t>
      </w:r>
    </w:p>
    <w:p>
      <w:pPr>
        <w:pStyle w:val="ListBullet"/>
      </w:pPr>
      <w:r>
        <w:t>Readiness — service can perform its required function.</w:t>
      </w:r>
    </w:p>
    <w:p>
      <w:pPr>
        <w:pStyle w:val="ListBullet"/>
      </w:pPr>
      <w:r>
        <w:t>Dependency health — critical database/integration/model dependencies are available.</w:t>
      </w:r>
    </w:p>
    <w:p>
      <w:pPr>
        <w:pStyle w:val="ListBullet"/>
      </w:pPr>
      <w:r>
        <w:t>Data freshness — synchronised sources are within configured freshness expectations.</w:t>
      </w:r>
    </w:p>
    <w:p>
      <w:r>
        <w:t>Health checks should distinguish between Synbot itself being healthy and an external dependency being unavailable.</w:t>
      </w:r>
    </w:p>
    <w:p>
      <w:pPr>
        <w:pStyle w:val="Heading1"/>
      </w:pPr>
      <w:r>
        <w:t>16. Graceful Degradation</w:t>
      </w:r>
    </w:p>
    <w:p>
      <w:r>
        <w:t>Synbot should continue providing useful service when a non-essential component fails.</w:t>
      </w:r>
    </w:p>
    <w:p>
      <w:pPr>
        <w:pStyle w:val="ListBullet"/>
      </w:pPr>
      <w:r>
        <w:t>Integration unavailable → explain that current system data cannot be confirmed.</w:t>
      </w:r>
    </w:p>
    <w:p>
      <w:pPr>
        <w:pStyle w:val="ListBullet"/>
      </w:pPr>
      <w:r>
        <w:t>RAG unavailable → use only authorised alternative sources if configured.</w:t>
      </w:r>
    </w:p>
    <w:p>
      <w:pPr>
        <w:pStyle w:val="ListBullet"/>
      </w:pPr>
      <w:r>
        <w:t>Analytics unavailable → retain transactional functionality.</w:t>
      </w:r>
    </w:p>
    <w:p>
      <w:pPr>
        <w:pStyle w:val="ListBullet"/>
      </w:pPr>
      <w:r>
        <w:t>One company integration unavailable → do not disable unrelated companies unless necessary.</w:t>
      </w:r>
    </w:p>
    <w:p>
      <w:pPr>
        <w:pStyle w:val="ListBullet"/>
      </w:pPr>
      <w:r>
        <w:t>Model provider unavailable → use configured fallback only if validated and permitted.</w:t>
      </w:r>
    </w:p>
    <w:p>
      <w:r>
        <w:t>Degraded mode must never silently reduce security or source-authority requirements.</w:t>
      </w:r>
    </w:p>
    <w:p>
      <w:pPr>
        <w:pStyle w:val="Heading1"/>
      </w:pPr>
      <w:r>
        <w:t>17. Model Provider Strategy</w:t>
      </w:r>
    </w:p>
    <w:p>
      <w:r>
        <w:t>Synbot may use hosted or local models depending on client requirements.</w:t>
      </w:r>
    </w:p>
    <w:p>
      <w:pPr>
        <w:pStyle w:val="ListBullet"/>
      </w:pPr>
      <w:r>
        <w:t>Abstract model providers behind a model service/interface.</w:t>
      </w:r>
    </w:p>
    <w:p>
      <w:pPr>
        <w:pStyle w:val="ListBullet"/>
      </w:pPr>
      <w:r>
        <w:t>Do not embed provider-specific logic throughout the application.</w:t>
      </w:r>
    </w:p>
    <w:p>
      <w:pPr>
        <w:pStyle w:val="ListBullet"/>
      </w:pPr>
      <w:r>
        <w:t>Track model/version used when relevant.</w:t>
      </w:r>
    </w:p>
    <w:p>
      <w:pPr>
        <w:pStyle w:val="ListBullet"/>
      </w:pPr>
      <w:r>
        <w:t>Evaluate fallback models before production use.</w:t>
      </w:r>
    </w:p>
    <w:p>
      <w:pPr>
        <w:pStyle w:val="ListBullet"/>
      </w:pPr>
      <w:r>
        <w:t>Ensure fallback models respect the same security, grounding and response requirements.</w:t>
      </w:r>
    </w:p>
    <w:p>
      <w:pPr>
        <w:pStyle w:val="ListBullet"/>
      </w:pPr>
      <w:r>
        <w:t>Never use a fallback merely because it is available; it must be authorised and tested.</w:t>
      </w:r>
    </w:p>
    <w:p>
      <w:pPr>
        <w:pStyle w:val="Heading1"/>
      </w:pPr>
      <w:r>
        <w:t>18. Knowledge and Index Operations</w:t>
      </w:r>
    </w:p>
    <w:p>
      <w:r>
        <w:t>Knowledge systems require operational lifecycle management.</w:t>
      </w:r>
    </w:p>
    <w:p>
      <w:pPr>
        <w:pStyle w:val="ListBullet"/>
      </w:pPr>
      <w:r>
        <w:t>Source ingestion status</w:t>
      </w:r>
    </w:p>
    <w:p>
      <w:pPr>
        <w:pStyle w:val="ListBullet"/>
      </w:pPr>
      <w:r>
        <w:t>Last successful ingestion</w:t>
      </w:r>
    </w:p>
    <w:p>
      <w:pPr>
        <w:pStyle w:val="ListBullet"/>
      </w:pPr>
      <w:r>
        <w:t>Document count</w:t>
      </w:r>
    </w:p>
    <w:p>
      <w:pPr>
        <w:pStyle w:val="ListBullet"/>
      </w:pPr>
      <w:r>
        <w:t>Rejected documents</w:t>
      </w:r>
    </w:p>
    <w:p>
      <w:pPr>
        <w:pStyle w:val="ListBullet"/>
      </w:pPr>
      <w:r>
        <w:t>Embedding/index status</w:t>
      </w:r>
    </w:p>
    <w:p>
      <w:pPr>
        <w:pStyle w:val="ListBullet"/>
      </w:pPr>
      <w:r>
        <w:t>Index version</w:t>
      </w:r>
    </w:p>
    <w:p>
      <w:pPr>
        <w:pStyle w:val="ListBullet"/>
      </w:pPr>
      <w:r>
        <w:t>Document freshness</w:t>
      </w:r>
    </w:p>
    <w:p>
      <w:pPr>
        <w:pStyle w:val="ListBullet"/>
      </w:pPr>
      <w:r>
        <w:t>Metadata integrity</w:t>
      </w:r>
    </w:p>
    <w:p>
      <w:pPr>
        <w:pStyle w:val="ListBullet"/>
      </w:pPr>
      <w:r>
        <w:t>Deletion/revocation propagation</w:t>
      </w:r>
    </w:p>
    <w:p>
      <w:r>
        <w:t>Removing a document from the source should trigger the configured process for removing or invalidating its retrievable representation.</w:t>
      </w:r>
    </w:p>
    <w:p>
      <w:pPr>
        <w:pStyle w:val="Heading1"/>
      </w:pPr>
      <w:r>
        <w:t>19. Data Synchronisation Operations</w:t>
      </w:r>
    </w:p>
    <w:p>
      <w:r>
        <w:t>For Sage, DRM Hope, Odoo or other enterprise sources, monitor:</w:t>
      </w:r>
    </w:p>
    <w:p>
      <w:pPr>
        <w:pStyle w:val="ListBullet"/>
      </w:pPr>
      <w:r>
        <w:t>Last successful sync</w:t>
      </w:r>
    </w:p>
    <w:p>
      <w:pPr>
        <w:pStyle w:val="ListBullet"/>
      </w:pPr>
      <w:r>
        <w:t>Records extracted</w:t>
      </w:r>
    </w:p>
    <w:p>
      <w:pPr>
        <w:pStyle w:val="ListBullet"/>
      </w:pPr>
      <w:r>
        <w:t>Records accepted</w:t>
      </w:r>
    </w:p>
    <w:p>
      <w:pPr>
        <w:pStyle w:val="ListBullet"/>
      </w:pPr>
      <w:r>
        <w:t>Records rejected</w:t>
      </w:r>
    </w:p>
    <w:p>
      <w:pPr>
        <w:pStyle w:val="ListBullet"/>
      </w:pPr>
      <w:r>
        <w:t>Duplicates</w:t>
      </w:r>
    </w:p>
    <w:p>
      <w:pPr>
        <w:pStyle w:val="ListBullet"/>
      </w:pPr>
      <w:r>
        <w:t>Reconciliation differences</w:t>
      </w:r>
    </w:p>
    <w:p>
      <w:pPr>
        <w:pStyle w:val="ListBullet"/>
      </w:pPr>
      <w:r>
        <w:t>Processing duration</w:t>
      </w:r>
    </w:p>
    <w:p>
      <w:pPr>
        <w:pStyle w:val="ListBullet"/>
      </w:pPr>
      <w:r>
        <w:t>Current sync state</w:t>
      </w:r>
    </w:p>
    <w:p>
      <w:pPr>
        <w:pStyle w:val="ListBullet"/>
      </w:pPr>
      <w:r>
        <w:t>Source freshness</w:t>
      </w:r>
    </w:p>
    <w:p>
      <w:r>
        <w:t>A synchronisation job marked 'completed' should not automatically mean the data is correct; reconciliation and quality checks remain separate.</w:t>
      </w:r>
    </w:p>
    <w:p>
      <w:pPr>
        <w:pStyle w:val="Heading1"/>
      </w:pPr>
      <w:r>
        <w:t>20. Backup and Recovery</w:t>
      </w:r>
    </w:p>
    <w:p>
      <w:pPr>
        <w:pStyle w:val="ListBullet"/>
      </w:pPr>
      <w:r>
        <w:t>Define backup frequency by data criticality.</w:t>
      </w:r>
    </w:p>
    <w:p>
      <w:pPr>
        <w:pStyle w:val="ListBullet"/>
      </w:pPr>
      <w:r>
        <w:t>Test restoration, not merely backup creation.</w:t>
      </w:r>
    </w:p>
    <w:p>
      <w:pPr>
        <w:pStyle w:val="ListBullet"/>
      </w:pPr>
      <w:r>
        <w:t>Maintain documented recovery procedures.</w:t>
      </w:r>
    </w:p>
    <w:p>
      <w:pPr>
        <w:pStyle w:val="ListBullet"/>
      </w:pPr>
      <w:r>
        <w:t>Separate production backups from production runtime where practical.</w:t>
      </w:r>
    </w:p>
    <w:p>
      <w:pPr>
        <w:pStyle w:val="ListBullet"/>
      </w:pPr>
      <w:r>
        <w:t>Protect backup credentials and encryption keys.</w:t>
      </w:r>
    </w:p>
    <w:p>
      <w:pPr>
        <w:pStyle w:val="ListBullet"/>
      </w:pPr>
      <w:r>
        <w:t>Document recovery ownership.</w:t>
      </w:r>
    </w:p>
    <w:p>
      <w:r>
        <w:t>Recovery objectives should be defined per client/system: RPO (Recovery Point Objective) describes acceptable data loss, while RTO (Recovery Time Objective) describes acceptable restoration time.</w:t>
      </w:r>
    </w:p>
    <w:p>
      <w:pPr>
        <w:pStyle w:val="Heading1"/>
      </w:pPr>
      <w:r>
        <w:t>21. Disaster Recovery</w:t>
      </w:r>
    </w:p>
    <w:p>
      <w:pPr>
        <w:pStyle w:val="ListNumber"/>
      </w:pPr>
      <w:r>
        <w:t>Identify critical services and dependencies.</w:t>
      </w:r>
    </w:p>
    <w:p>
      <w:pPr>
        <w:pStyle w:val="ListNumber"/>
      </w:pPr>
      <w:r>
        <w:t>Define primary and recovery environments.</w:t>
      </w:r>
    </w:p>
    <w:p>
      <w:pPr>
        <w:pStyle w:val="ListNumber"/>
      </w:pPr>
      <w:r>
        <w:t>Document restoration order.</w:t>
      </w:r>
    </w:p>
    <w:p>
      <w:pPr>
        <w:pStyle w:val="ListNumber"/>
      </w:pPr>
      <w:r>
        <w:t>Restore infrastructure/configuration.</w:t>
      </w:r>
    </w:p>
    <w:p>
      <w:pPr>
        <w:pStyle w:val="ListNumber"/>
      </w:pPr>
      <w:r>
        <w:t>Restore databases and indexes.</w:t>
      </w:r>
    </w:p>
    <w:p>
      <w:pPr>
        <w:pStyle w:val="ListNumber"/>
      </w:pPr>
      <w:r>
        <w:t>Reconnect integrations.</w:t>
      </w:r>
    </w:p>
    <w:p>
      <w:pPr>
        <w:pStyle w:val="ListNumber"/>
      </w:pPr>
      <w:r>
        <w:t>Validate security and permissions.</w:t>
      </w:r>
    </w:p>
    <w:p>
      <w:pPr>
        <w:pStyle w:val="ListNumber"/>
      </w:pPr>
      <w:r>
        <w:t>Run smoke tests.</w:t>
      </w:r>
    </w:p>
    <w:p>
      <w:pPr>
        <w:pStyle w:val="ListNumber"/>
      </w:pPr>
      <w:r>
        <w:t>Run critical business workflows.</w:t>
      </w:r>
    </w:p>
    <w:p>
      <w:pPr>
        <w:pStyle w:val="ListNumber"/>
      </w:pPr>
      <w:r>
        <w:t>Return to production service.</w:t>
      </w:r>
    </w:p>
    <w:p>
      <w:pPr>
        <w:pStyle w:val="Heading1"/>
      </w:pPr>
      <w:r>
        <w:t>22. Incident Management</w:t>
      </w:r>
    </w:p>
    <w:p>
      <w:r>
        <w:t>Incident severity should reflect user/business impact.</w:t>
      </w:r>
    </w:p>
    <w:p>
      <w:pPr>
        <w:pStyle w:val="ListBullet"/>
      </w:pPr>
      <w:r>
        <w:t>P1 — critical production outage, serious security issue, or material business interruption.</w:t>
      </w:r>
    </w:p>
    <w:p>
      <w:pPr>
        <w:pStyle w:val="ListBullet"/>
      </w:pPr>
      <w:r>
        <w:t>P2 — major feature or integration failure affecting important workflows.</w:t>
      </w:r>
    </w:p>
    <w:p>
      <w:pPr>
        <w:pStyle w:val="ListBullet"/>
      </w:pPr>
      <w:r>
        <w:t>P3 — limited degradation or workaround available.</w:t>
      </w:r>
    </w:p>
    <w:p>
      <w:pPr>
        <w:pStyle w:val="ListBullet"/>
      </w:pPr>
      <w:r>
        <w:t>P4 — minor issue or non-urgent defect.</w:t>
      </w:r>
    </w:p>
    <w:p>
      <w:r>
        <w:t>Severity definitions should be adapted to each client service agreement.</w:t>
      </w:r>
    </w:p>
    <w:p>
      <w:pPr>
        <w:pStyle w:val="Heading1"/>
      </w:pPr>
      <w:r>
        <w:t>23. Incident Response Lifecycle</w:t>
      </w:r>
    </w:p>
    <w:p>
      <w:pPr>
        <w:pStyle w:val="ListNumber"/>
      </w:pPr>
      <w:r>
        <w:t>Detect.</w:t>
      </w:r>
    </w:p>
    <w:p>
      <w:pPr>
        <w:pStyle w:val="ListNumber"/>
      </w:pPr>
      <w:r>
        <w:t>Triage.</w:t>
      </w:r>
    </w:p>
    <w:p>
      <w:pPr>
        <w:pStyle w:val="ListNumber"/>
      </w:pPr>
      <w:r>
        <w:t>Contain.</w:t>
      </w:r>
    </w:p>
    <w:p>
      <w:pPr>
        <w:pStyle w:val="ListNumber"/>
      </w:pPr>
      <w:r>
        <w:t>Communicate where required.</w:t>
      </w:r>
    </w:p>
    <w:p>
      <w:pPr>
        <w:pStyle w:val="ListNumber"/>
      </w:pPr>
      <w:r>
        <w:t>Investigate.</w:t>
      </w:r>
    </w:p>
    <w:p>
      <w:pPr>
        <w:pStyle w:val="ListNumber"/>
      </w:pPr>
      <w:r>
        <w:t>Recover.</w:t>
      </w:r>
    </w:p>
    <w:p>
      <w:pPr>
        <w:pStyle w:val="ListNumber"/>
      </w:pPr>
      <w:r>
        <w:t>Validate.</w:t>
      </w:r>
    </w:p>
    <w:p>
      <w:pPr>
        <w:pStyle w:val="ListNumber"/>
      </w:pPr>
      <w:r>
        <w:t>Document root cause and contributing factors.</w:t>
      </w:r>
    </w:p>
    <w:p>
      <w:pPr>
        <w:pStyle w:val="ListNumber"/>
      </w:pPr>
      <w:r>
        <w:t>Implement corrective action.</w:t>
      </w:r>
    </w:p>
    <w:p>
      <w:pPr>
        <w:pStyle w:val="ListNumber"/>
      </w:pPr>
      <w:r>
        <w:t>Add regression coverage where appropriate.</w:t>
      </w:r>
    </w:p>
    <w:p>
      <w:pPr>
        <w:pStyle w:val="Heading1"/>
      </w:pPr>
      <w:r>
        <w:t>24. Rollback Strategy</w:t>
      </w:r>
    </w:p>
    <w:p>
      <w:r>
        <w:t>Every material deployment should have a rollback or forward-fix strategy.</w:t>
      </w:r>
    </w:p>
    <w:p>
      <w:pPr>
        <w:pStyle w:val="ListBullet"/>
      </w:pPr>
      <w:r>
        <w:t>Application rollback</w:t>
      </w:r>
    </w:p>
    <w:p>
      <w:pPr>
        <w:pStyle w:val="ListBullet"/>
      </w:pPr>
      <w:r>
        <w:t>Configuration rollback</w:t>
      </w:r>
    </w:p>
    <w:p>
      <w:pPr>
        <w:pStyle w:val="ListBullet"/>
      </w:pPr>
      <w:r>
        <w:t>Prompt rollback</w:t>
      </w:r>
    </w:p>
    <w:p>
      <w:pPr>
        <w:pStyle w:val="ListBullet"/>
      </w:pPr>
      <w:r>
        <w:t>Integration adapter rollback</w:t>
      </w:r>
    </w:p>
    <w:p>
      <w:pPr>
        <w:pStyle w:val="ListBullet"/>
      </w:pPr>
      <w:r>
        <w:t>Index rollback</w:t>
      </w:r>
    </w:p>
    <w:p>
      <w:pPr>
        <w:pStyle w:val="ListBullet"/>
      </w:pPr>
      <w:r>
        <w:t>Database migration rollback or compensating migration</w:t>
      </w:r>
    </w:p>
    <w:p>
      <w:pPr>
        <w:pStyle w:val="ListBullet"/>
      </w:pPr>
      <w:r>
        <w:t>Feature-flag disablement</w:t>
      </w:r>
    </w:p>
    <w:p>
      <w:r>
        <w:t>Database changes require particular care: destructive schema changes should not be bundled casually with application releases.</w:t>
      </w:r>
    </w:p>
    <w:p>
      <w:pPr>
        <w:pStyle w:val="Heading1"/>
      </w:pPr>
      <w:r>
        <w:t>25. Feature Flags</w:t>
      </w:r>
    </w:p>
    <w:p>
      <w:r>
        <w:t>Feature flags allow controlled activation without requiring a full redeployment.</w:t>
      </w:r>
    </w:p>
    <w:p>
      <w:pPr>
        <w:pStyle w:val="ListBullet"/>
      </w:pPr>
      <w:r>
        <w:t>Enable by client</w:t>
      </w:r>
    </w:p>
    <w:p>
      <w:pPr>
        <w:pStyle w:val="ListBullet"/>
      </w:pPr>
      <w:r>
        <w:t>Enable by company</w:t>
      </w:r>
    </w:p>
    <w:p>
      <w:pPr>
        <w:pStyle w:val="ListBullet"/>
      </w:pPr>
      <w:r>
        <w:t>Enable by role</w:t>
      </w:r>
    </w:p>
    <w:p>
      <w:pPr>
        <w:pStyle w:val="ListBullet"/>
      </w:pPr>
      <w:r>
        <w:t>Enable by environment</w:t>
      </w:r>
    </w:p>
    <w:p>
      <w:pPr>
        <w:pStyle w:val="ListBullet"/>
      </w:pPr>
      <w:r>
        <w:t>Enable for internal testing</w:t>
      </w:r>
    </w:p>
    <w:p>
      <w:pPr>
        <w:pStyle w:val="ListBullet"/>
      </w:pPr>
      <w:r>
        <w:t>Emergency disablement</w:t>
      </w:r>
    </w:p>
    <w:p>
      <w:r>
        <w:t>Flags must have owners, purpose, status and retirement dates where appropriate.</w:t>
      </w:r>
    </w:p>
    <w:p>
      <w:pPr>
        <w:pStyle w:val="Heading1"/>
      </w:pPr>
      <w:r>
        <w:t>26. Kill Switch and Service Control</w:t>
      </w:r>
    </w:p>
    <w:p>
      <w:r>
        <w:t>Synbot deployments should support controlled operational states established by the Security, Governance &amp; Audit Framework.</w:t>
      </w:r>
    </w:p>
    <w:p>
      <w:pPr>
        <w:pStyle w:val="ListBullet"/>
      </w:pPr>
      <w:r>
        <w:t>Active — normal operation.</w:t>
      </w:r>
    </w:p>
    <w:p>
      <w:pPr>
        <w:pStyle w:val="ListBullet"/>
      </w:pPr>
      <w:r>
        <w:t>Restricted — selected capabilities disabled.</w:t>
      </w:r>
    </w:p>
    <w:p>
      <w:pPr>
        <w:pStyle w:val="ListBullet"/>
      </w:pPr>
      <w:r>
        <w:t>Maintenance — service intentionally unavailable for planned work.</w:t>
      </w:r>
    </w:p>
    <w:p>
      <w:pPr>
        <w:pStyle w:val="ListBullet"/>
      </w:pPr>
      <w:r>
        <w:t>Suspended — access blocked pending operational/security action.</w:t>
      </w:r>
    </w:p>
    <w:p>
      <w:pPr>
        <w:pStyle w:val="ListBullet"/>
      </w:pPr>
      <w:r>
        <w:t>Decommissioned — service permanently retired.</w:t>
      </w:r>
    </w:p>
    <w:p>
      <w:r>
        <w:t>A service-control mechanism should fail safely and should not depend on an LLM decision.</w:t>
      </w:r>
    </w:p>
    <w:p>
      <w:pPr>
        <w:pStyle w:val="Heading1"/>
      </w:pPr>
      <w:r>
        <w:t>27. Client Support Model</w:t>
      </w:r>
    </w:p>
    <w:p>
      <w:r>
        <w:t>Support should distinguish between:</w:t>
      </w:r>
    </w:p>
    <w:p>
      <w:pPr>
        <w:pStyle w:val="ListBullet"/>
      </w:pPr>
      <w:r>
        <w:t>User issue — user needs help completing a workflow.</w:t>
      </w:r>
    </w:p>
    <w:p>
      <w:pPr>
        <w:pStyle w:val="ListBullet"/>
      </w:pPr>
      <w:r>
        <w:t>Data issue — source record or synchronisation problem.</w:t>
      </w:r>
    </w:p>
    <w:p>
      <w:pPr>
        <w:pStyle w:val="ListBullet"/>
      </w:pPr>
      <w:r>
        <w:t>Integration issue — external system unavailable or changed.</w:t>
      </w:r>
    </w:p>
    <w:p>
      <w:pPr>
        <w:pStyle w:val="ListBullet"/>
      </w:pPr>
      <w:r>
        <w:t>Application issue — Synbot software defect.</w:t>
      </w:r>
    </w:p>
    <w:p>
      <w:pPr>
        <w:pStyle w:val="ListBullet"/>
      </w:pPr>
      <w:r>
        <w:t>Configuration issue — client/domain/role setup problem.</w:t>
      </w:r>
    </w:p>
    <w:p>
      <w:pPr>
        <w:pStyle w:val="ListBullet"/>
      </w:pPr>
      <w:r>
        <w:t>Model/quality issue — response behaviour requires evaluation or prompt/retrieval change.</w:t>
      </w:r>
    </w:p>
    <w:p>
      <w:pPr>
        <w:pStyle w:val="Heading1"/>
      </w:pPr>
      <w:r>
        <w:t>28. Runbooks</w:t>
      </w:r>
    </w:p>
    <w:p>
      <w:r>
        <w:t>Each production deployment should have concise runbooks for common events.</w:t>
      </w:r>
    </w:p>
    <w:p>
      <w:pPr>
        <w:pStyle w:val="ListBullet"/>
      </w:pPr>
      <w:r>
        <w:t>Application unavailable</w:t>
      </w:r>
    </w:p>
    <w:p>
      <w:pPr>
        <w:pStyle w:val="ListBullet"/>
      </w:pPr>
      <w:r>
        <w:t>Database unavailable</w:t>
      </w:r>
    </w:p>
    <w:p>
      <w:pPr>
        <w:pStyle w:val="ListBullet"/>
      </w:pPr>
      <w:r>
        <w:t>LLM/model unavailable</w:t>
      </w:r>
    </w:p>
    <w:p>
      <w:pPr>
        <w:pStyle w:val="ListBullet"/>
      </w:pPr>
      <w:r>
        <w:t>RAG/index failure</w:t>
      </w:r>
    </w:p>
    <w:p>
      <w:pPr>
        <w:pStyle w:val="ListBullet"/>
      </w:pPr>
      <w:r>
        <w:t>Sage/ERP/HMS integration failure</w:t>
      </w:r>
    </w:p>
    <w:p>
      <w:pPr>
        <w:pStyle w:val="ListBullet"/>
      </w:pPr>
      <w:r>
        <w:t>Authentication failure</w:t>
      </w:r>
    </w:p>
    <w:p>
      <w:pPr>
        <w:pStyle w:val="ListBullet"/>
      </w:pPr>
      <w:r>
        <w:t>Sync failure</w:t>
      </w:r>
    </w:p>
    <w:p>
      <w:pPr>
        <w:pStyle w:val="ListBullet"/>
      </w:pPr>
      <w:r>
        <w:t>High latency</w:t>
      </w:r>
    </w:p>
    <w:p>
      <w:pPr>
        <w:pStyle w:val="ListBullet"/>
      </w:pPr>
      <w:r>
        <w:t>Incorrect response investigation</w:t>
      </w:r>
    </w:p>
    <w:p>
      <w:pPr>
        <w:pStyle w:val="ListBullet"/>
      </w:pPr>
      <w:r>
        <w:t>Security incident</w:t>
      </w:r>
    </w:p>
    <w:p>
      <w:pPr>
        <w:pStyle w:val="ListBullet"/>
      </w:pPr>
      <w:r>
        <w:t>Backup restoration</w:t>
      </w:r>
    </w:p>
    <w:p>
      <w:pPr>
        <w:pStyle w:val="ListBullet"/>
      </w:pPr>
      <w:r>
        <w:t>Emergency suspension</w:t>
      </w:r>
    </w:p>
    <w:p>
      <w:pPr>
        <w:pStyle w:val="Heading1"/>
      </w:pPr>
      <w:r>
        <w:t>29. Continuous Evaluation</w:t>
      </w:r>
    </w:p>
    <w:p>
      <w:r>
        <w:t>Operational telemetry should feed back into the evaluation framework.</w:t>
      </w:r>
    </w:p>
    <w:p>
      <w:r>
        <w:t>Example loop:</w:t>
      </w:r>
    </w:p>
    <w:p>
      <w:r>
        <w:t>Production interaction → telemetry → flagged behaviour → evaluation case → root-cause classification → fix layer → regression test → release</w:t>
      </w:r>
    </w:p>
    <w:p>
      <w:pPr>
        <w:pStyle w:val="ListBullet"/>
      </w:pPr>
      <w:r>
        <w:t>Prompt issue → prompt/domain layer.</w:t>
      </w:r>
    </w:p>
    <w:p>
      <w:pPr>
        <w:pStyle w:val="ListBullet"/>
      </w:pPr>
      <w:r>
        <w:t>Retrieval issue → knowledge/index layer.</w:t>
      </w:r>
    </w:p>
    <w:p>
      <w:pPr>
        <w:pStyle w:val="ListBullet"/>
      </w:pPr>
      <w:r>
        <w:t>Source issue → data/integration layer.</w:t>
      </w:r>
    </w:p>
    <w:p>
      <w:pPr>
        <w:pStyle w:val="ListBullet"/>
      </w:pPr>
      <w:r>
        <w:t>Permission issue → security layer.</w:t>
      </w:r>
    </w:p>
    <w:p>
      <w:pPr>
        <w:pStyle w:val="ListBullet"/>
      </w:pPr>
      <w:r>
        <w:t>Routing issue → orchestration layer.</w:t>
      </w:r>
    </w:p>
    <w:p>
      <w:pPr>
        <w:pStyle w:val="ListBullet"/>
      </w:pPr>
      <w:r>
        <w:t>UX issue → experience layer.</w:t>
      </w:r>
    </w:p>
    <w:p>
      <w:pPr>
        <w:pStyle w:val="ListBullet"/>
      </w:pPr>
      <w:r>
        <w:t>Platform issue → implementation/operations layer.</w:t>
      </w:r>
    </w:p>
    <w:p>
      <w:pPr>
        <w:pStyle w:val="Heading1"/>
      </w:pPr>
      <w:r>
        <w:t>30. Cost and Resource Management</w:t>
      </w:r>
    </w:p>
    <w:p>
      <w:pPr>
        <w:pStyle w:val="ListBullet"/>
      </w:pPr>
      <w:r>
        <w:t>Track model usage and cost by client/company where appropriate.</w:t>
      </w:r>
    </w:p>
    <w:p>
      <w:pPr>
        <w:pStyle w:val="ListBullet"/>
      </w:pPr>
      <w:r>
        <w:t>Monitor compute and storage consumption.</w:t>
      </w:r>
    </w:p>
    <w:p>
      <w:pPr>
        <w:pStyle w:val="ListBullet"/>
      </w:pPr>
      <w:r>
        <w:t>Identify expensive tools and integrations.</w:t>
      </w:r>
    </w:p>
    <w:p>
      <w:pPr>
        <w:pStyle w:val="ListBullet"/>
      </w:pPr>
      <w:r>
        <w:t>Cache suitable stable information.</w:t>
      </w:r>
    </w:p>
    <w:p>
      <w:pPr>
        <w:pStyle w:val="ListBullet"/>
      </w:pPr>
      <w:r>
        <w:t>Avoid unnecessary multi-agent calls.</w:t>
      </w:r>
    </w:p>
    <w:p>
      <w:pPr>
        <w:pStyle w:val="ListBullet"/>
      </w:pPr>
      <w:r>
        <w:t>Use asynchronous jobs for long-running operations.</w:t>
      </w:r>
    </w:p>
    <w:p>
      <w:pPr>
        <w:pStyle w:val="ListBullet"/>
      </w:pPr>
      <w:r>
        <w:t>Set client-specific quotas where required.</w:t>
      </w:r>
    </w:p>
    <w:p>
      <w:pPr>
        <w:pStyle w:val="ListBullet"/>
      </w:pPr>
      <w:r>
        <w:t>Monitor infrastructure growth before capacity becomes an outage.</w:t>
      </w:r>
    </w:p>
    <w:p>
      <w:pPr>
        <w:pStyle w:val="Heading1"/>
      </w:pPr>
      <w:r>
        <w:t>31. Capacity Planning</w:t>
      </w:r>
    </w:p>
    <w:p>
      <w:r>
        <w:t>Capacity planning should consider:</w:t>
      </w:r>
    </w:p>
    <w:p>
      <w:pPr>
        <w:pStyle w:val="ListBullet"/>
      </w:pPr>
      <w:r>
        <w:t>Concurrent users</w:t>
      </w:r>
    </w:p>
    <w:p>
      <w:pPr>
        <w:pStyle w:val="ListBullet"/>
      </w:pPr>
      <w:r>
        <w:t>Requests per minute</w:t>
      </w:r>
    </w:p>
    <w:p>
      <w:pPr>
        <w:pStyle w:val="ListBullet"/>
      </w:pPr>
      <w:r>
        <w:t>Average and peak token usage</w:t>
      </w:r>
    </w:p>
    <w:p>
      <w:pPr>
        <w:pStyle w:val="ListBullet"/>
      </w:pPr>
      <w:r>
        <w:t>Retrieval volume</w:t>
      </w:r>
    </w:p>
    <w:p>
      <w:pPr>
        <w:pStyle w:val="ListBullet"/>
      </w:pPr>
      <w:r>
        <w:t>Database connections</w:t>
      </w:r>
    </w:p>
    <w:p>
      <w:pPr>
        <w:pStyle w:val="ListBullet"/>
      </w:pPr>
      <w:r>
        <w:t>Integration rate limits</w:t>
      </w:r>
    </w:p>
    <w:p>
      <w:pPr>
        <w:pStyle w:val="ListBullet"/>
      </w:pPr>
      <w:r>
        <w:t>Background job volume</w:t>
      </w:r>
    </w:p>
    <w:p>
      <w:pPr>
        <w:pStyle w:val="ListBullet"/>
      </w:pPr>
      <w:r>
        <w:t>Document ingestion growth</w:t>
      </w:r>
    </w:p>
    <w:p>
      <w:pPr>
        <w:pStyle w:val="ListBullet"/>
      </w:pPr>
      <w:r>
        <w:t>Storage growth</w:t>
      </w:r>
    </w:p>
    <w:p>
      <w:pPr>
        <w:pStyle w:val="ListBullet"/>
      </w:pPr>
      <w:r>
        <w:t>Client/company growth</w:t>
      </w:r>
    </w:p>
    <w:p>
      <w:pPr>
        <w:pStyle w:val="Heading1"/>
      </w:pPr>
      <w:r>
        <w:t>32. Security Operations</w:t>
      </w:r>
    </w:p>
    <w:p>
      <w:r>
        <w:t>Operational monitoring should connect to the security framework.</w:t>
      </w:r>
    </w:p>
    <w:p>
      <w:pPr>
        <w:pStyle w:val="ListBullet"/>
      </w:pPr>
      <w:r>
        <w:t>Authentication anomalies</w:t>
      </w:r>
    </w:p>
    <w:p>
      <w:pPr>
        <w:pStyle w:val="ListBullet"/>
      </w:pPr>
      <w:r>
        <w:t>Permission denials</w:t>
      </w:r>
    </w:p>
    <w:p>
      <w:pPr>
        <w:pStyle w:val="ListBullet"/>
      </w:pPr>
      <w:r>
        <w:t>Cross-tenant/company access attempts</w:t>
      </w:r>
    </w:p>
    <w:p>
      <w:pPr>
        <w:pStyle w:val="ListBullet"/>
      </w:pPr>
      <w:r>
        <w:t>Unusual tool execution</w:t>
      </w:r>
    </w:p>
    <w:p>
      <w:pPr>
        <w:pStyle w:val="ListBullet"/>
      </w:pPr>
      <w:r>
        <w:t>Credential failures</w:t>
      </w:r>
    </w:p>
    <w:p>
      <w:pPr>
        <w:pStyle w:val="ListBullet"/>
      </w:pPr>
      <w:r>
        <w:t>Prompt-injection indicators</w:t>
      </w:r>
    </w:p>
    <w:p>
      <w:pPr>
        <w:pStyle w:val="ListBullet"/>
      </w:pPr>
      <w:r>
        <w:t>Unexpected configuration changes</w:t>
      </w:r>
    </w:p>
    <w:p>
      <w:pPr>
        <w:pStyle w:val="ListBullet"/>
      </w:pPr>
      <w:r>
        <w:t>Audit trail gaps</w:t>
      </w:r>
    </w:p>
    <w:p>
      <w:pPr>
        <w:pStyle w:val="Heading1"/>
      </w:pPr>
      <w:r>
        <w:t>33. Production Readiness Checklist</w:t>
      </w:r>
    </w:p>
    <w:p>
      <w:pPr>
        <w:pStyle w:val="ListBullet"/>
      </w:pPr>
      <w:r>
        <w:t>Health checks implemented.</w:t>
      </w:r>
    </w:p>
    <w:p>
      <w:pPr>
        <w:pStyle w:val="ListBullet"/>
      </w:pPr>
      <w:r>
        <w:t>Structured logs enabled.</w:t>
      </w:r>
    </w:p>
    <w:p>
      <w:pPr>
        <w:pStyle w:val="ListBullet"/>
      </w:pPr>
      <w:r>
        <w:t>Correlation IDs available.</w:t>
      </w:r>
    </w:p>
    <w:p>
      <w:pPr>
        <w:pStyle w:val="ListBullet"/>
      </w:pPr>
      <w:r>
        <w:t>Metrics and alerts configured.</w:t>
      </w:r>
    </w:p>
    <w:p>
      <w:pPr>
        <w:pStyle w:val="ListBullet"/>
      </w:pPr>
      <w:r>
        <w:t>Critical integrations monitored.</w:t>
      </w:r>
    </w:p>
    <w:p>
      <w:pPr>
        <w:pStyle w:val="ListBullet"/>
      </w:pPr>
      <w:r>
        <w:t>Backups configured and restoration tested.</w:t>
      </w:r>
    </w:p>
    <w:p>
      <w:pPr>
        <w:pStyle w:val="ListBullet"/>
      </w:pPr>
      <w:r>
        <w:t>Rollback strategy documented.</w:t>
      </w:r>
    </w:p>
    <w:p>
      <w:pPr>
        <w:pStyle w:val="ListBullet"/>
      </w:pPr>
      <w:r>
        <w:t>Runbooks available.</w:t>
      </w:r>
    </w:p>
    <w:p>
      <w:pPr>
        <w:pStyle w:val="ListBullet"/>
      </w:pPr>
      <w:r>
        <w:t>Security monitoring enabled.</w:t>
      </w:r>
    </w:p>
    <w:p>
      <w:pPr>
        <w:pStyle w:val="ListBullet"/>
      </w:pPr>
      <w:r>
        <w:t>Evaluation regression suite passing.</w:t>
      </w:r>
    </w:p>
    <w:p>
      <w:pPr>
        <w:pStyle w:val="ListBullet"/>
      </w:pPr>
      <w:r>
        <w:t>Client configuration versioned.</w:t>
      </w:r>
    </w:p>
    <w:p>
      <w:pPr>
        <w:pStyle w:val="ListBullet"/>
      </w:pPr>
      <w:r>
        <w:t>Support ownership defined.</w:t>
      </w:r>
    </w:p>
    <w:p>
      <w:pPr>
        <w:pStyle w:val="ListBullet"/>
      </w:pPr>
      <w:r>
        <w:t>Emergency service-control mechanism tested.</w:t>
      </w:r>
    </w:p>
    <w:p>
      <w:pPr>
        <w:pStyle w:val="Heading1"/>
      </w:pPr>
      <w:r>
        <w:t>34. Recommended Operational Stack</w:t>
      </w:r>
    </w:p>
    <w:p>
      <w:r>
        <w:t>The exact tooling may vary by deployment, but the architecture should support:</w:t>
      </w:r>
    </w:p>
    <w:p>
      <w:pPr>
        <w:pStyle w:val="ListBullet"/>
      </w:pPr>
      <w:r>
        <w:t>Docker/Docker Compose for straightforward deployments.</w:t>
      </w:r>
    </w:p>
    <w:p>
      <w:pPr>
        <w:pStyle w:val="ListBullet"/>
      </w:pPr>
      <w:r>
        <w:t>PostgreSQL/Supabase where appropriate for application data.</w:t>
      </w:r>
    </w:p>
    <w:p>
      <w:pPr>
        <w:pStyle w:val="ListBullet"/>
      </w:pPr>
      <w:r>
        <w:t>Redis or equivalent for caching/queues where justified.</w:t>
      </w:r>
    </w:p>
    <w:p>
      <w:pPr>
        <w:pStyle w:val="ListBullet"/>
      </w:pPr>
      <w:r>
        <w:t>n8n for suitable low-code workflows.</w:t>
      </w:r>
    </w:p>
    <w:p>
      <w:pPr>
        <w:pStyle w:val="ListBullet"/>
      </w:pPr>
      <w:r>
        <w:t>Centralised structured logging.</w:t>
      </w:r>
    </w:p>
    <w:p>
      <w:pPr>
        <w:pStyle w:val="ListBullet"/>
      </w:pPr>
      <w:r>
        <w:t>Metrics and dashboarding.</w:t>
      </w:r>
    </w:p>
    <w:p>
      <w:pPr>
        <w:pStyle w:val="ListBullet"/>
      </w:pPr>
      <w:r>
        <w:t>Tracing where multi-service debugging requires it.</w:t>
      </w:r>
    </w:p>
    <w:p>
      <w:pPr>
        <w:pStyle w:val="ListBullet"/>
      </w:pPr>
      <w:r>
        <w:t>Git-based version control and CI/CD.</w:t>
      </w:r>
    </w:p>
    <w:p>
      <w:pPr>
        <w:pStyle w:val="ListBullet"/>
      </w:pPr>
      <w:r>
        <w:t>Automated evaluation in release pipelines.</w:t>
      </w:r>
    </w:p>
    <w:p>
      <w:pPr>
        <w:pStyle w:val="Heading1"/>
      </w:pPr>
      <w:r>
        <w:t>35. Atiat Operating Model</w:t>
      </w:r>
    </w:p>
    <w:p>
      <w:r>
        <w:t>For Atiat's multi-company architecture, operations should monitor both the shared platform and each company's service boundary.</w:t>
      </w:r>
    </w:p>
    <w:p>
      <w:pPr>
        <w:pStyle w:val="ListBullet"/>
      </w:pPr>
      <w:r>
        <w:t>Central Synbot platform health.</w:t>
      </w:r>
    </w:p>
    <w:p>
      <w:pPr>
        <w:pStyle w:val="ListBullet"/>
      </w:pPr>
      <w:r>
        <w:t>Company-specific integration health.</w:t>
      </w:r>
    </w:p>
    <w:p>
      <w:pPr>
        <w:pStyle w:val="ListBullet"/>
      </w:pPr>
      <w:r>
        <w:t>Company-specific data freshness.</w:t>
      </w:r>
    </w:p>
    <w:p>
      <w:pPr>
        <w:pStyle w:val="ListBullet"/>
      </w:pPr>
      <w:r>
        <w:t>Role/permission configuration.</w:t>
      </w:r>
    </w:p>
    <w:p>
      <w:pPr>
        <w:pStyle w:val="ListBullet"/>
      </w:pPr>
      <w:r>
        <w:t>Shared service availability.</w:t>
      </w:r>
    </w:p>
    <w:p>
      <w:pPr>
        <w:pStyle w:val="ListBullet"/>
      </w:pPr>
      <w:r>
        <w:t>Per-company workflow failures.</w:t>
      </w:r>
    </w:p>
    <w:p>
      <w:pPr>
        <w:pStyle w:val="ListBullet"/>
      </w:pPr>
      <w:r>
        <w:t>Company-level usage and operational metrics where appropriate.</w:t>
      </w:r>
    </w:p>
    <w:p>
      <w:r>
        <w:t>A failure in one subsidiary's integration should not automatically be treated as a platform-wide failure.</w:t>
      </w:r>
    </w:p>
    <w:p>
      <w:pPr>
        <w:pStyle w:val="Heading1"/>
      </w:pPr>
      <w:r>
        <w:t>36. Placeware Operating Model</w:t>
      </w:r>
    </w:p>
    <w:p>
      <w:pPr>
        <w:pStyle w:val="ListBullet"/>
      </w:pPr>
      <w:r>
        <w:t>Monitor Sage connectivity and data extraction.</w:t>
      </w:r>
    </w:p>
    <w:p>
      <w:pPr>
        <w:pStyle w:val="ListBullet"/>
      </w:pPr>
      <w:r>
        <w:t>Monitor inventory/accounting synchronisation.</w:t>
      </w:r>
    </w:p>
    <w:p>
      <w:pPr>
        <w:pStyle w:val="ListBullet"/>
      </w:pPr>
      <w:r>
        <w:t>Track report availability and extraction failures.</w:t>
      </w:r>
    </w:p>
    <w:p>
      <w:pPr>
        <w:pStyle w:val="ListBullet"/>
      </w:pPr>
      <w:r>
        <w:t>Monitor RAG knowledge freshness.</w:t>
      </w:r>
    </w:p>
    <w:p>
      <w:pPr>
        <w:pStyle w:val="ListBullet"/>
      </w:pPr>
      <w:r>
        <w:t>Track workflow failures for stock/returns/recall processes.</w:t>
      </w:r>
    </w:p>
    <w:p>
      <w:pPr>
        <w:pStyle w:val="ListBullet"/>
      </w:pPr>
      <w:r>
        <w:t>Maintain an emergency read-only mode where practical.</w:t>
      </w:r>
    </w:p>
    <w:p>
      <w:pPr>
        <w:pStyle w:val="Heading1"/>
      </w:pPr>
      <w:r>
        <w:t>37. Synbot Health Operating Model</w:t>
      </w:r>
    </w:p>
    <w:p>
      <w:pPr>
        <w:pStyle w:val="ListBullet"/>
      </w:pPr>
      <w:r>
        <w:t>Monitor clinical data synchronisation.</w:t>
      </w:r>
    </w:p>
    <w:p>
      <w:pPr>
        <w:pStyle w:val="ListBullet"/>
      </w:pPr>
      <w:r>
        <w:t>Monitor patient/encounter data freshness.</w:t>
      </w:r>
    </w:p>
    <w:p>
      <w:pPr>
        <w:pStyle w:val="ListBullet"/>
      </w:pPr>
      <w:r>
        <w:t>Monitor queue and workflow services.</w:t>
      </w:r>
    </w:p>
    <w:p>
      <w:pPr>
        <w:pStyle w:val="ListBullet"/>
      </w:pPr>
      <w:r>
        <w:t>Monitor document and laboratory knowledge sources.</w:t>
      </w:r>
    </w:p>
    <w:p>
      <w:pPr>
        <w:pStyle w:val="ListBullet"/>
      </w:pPr>
      <w:r>
        <w:t>Track device/interoperability availability where integrated.</w:t>
      </w:r>
    </w:p>
    <w:p>
      <w:pPr>
        <w:pStyle w:val="ListBullet"/>
      </w:pPr>
      <w:r>
        <w:t>Apply stronger operational controls to sensitive clinical workflows.</w:t>
      </w:r>
    </w:p>
    <w:p>
      <w:pPr>
        <w:pStyle w:val="Heading1"/>
      </w:pPr>
      <w:r>
        <w:t>38. Operational Ownership Matrix</w:t>
      </w:r>
    </w:p>
    <w:p>
      <w:r>
        <w:t>Every production component should have a clear owner.</w:t>
      </w:r>
    </w:p>
    <w:p>
      <w:pPr>
        <w:pStyle w:val="ListBullet"/>
      </w:pPr>
      <w:r>
        <w:t>Platform owner — Synbot core and shared infrastructure.</w:t>
      </w:r>
    </w:p>
    <w:p>
      <w:pPr>
        <w:pStyle w:val="ListBullet"/>
      </w:pPr>
      <w:r>
        <w:t>Application owner — client-facing deployment.</w:t>
      </w:r>
    </w:p>
    <w:p>
      <w:pPr>
        <w:pStyle w:val="ListBullet"/>
      </w:pPr>
      <w:r>
        <w:t>Data owner — source quality and authority.</w:t>
      </w:r>
    </w:p>
    <w:p>
      <w:pPr>
        <w:pStyle w:val="ListBullet"/>
      </w:pPr>
      <w:r>
        <w:t>Integration owner — external system connectivity.</w:t>
      </w:r>
    </w:p>
    <w:p>
      <w:pPr>
        <w:pStyle w:val="ListBullet"/>
      </w:pPr>
      <w:r>
        <w:t>Security owner — access, audit and incident controls.</w:t>
      </w:r>
    </w:p>
    <w:p>
      <w:pPr>
        <w:pStyle w:val="ListBullet"/>
      </w:pPr>
      <w:r>
        <w:t>Business owner — workflow and business-rule decisions.</w:t>
      </w:r>
    </w:p>
    <w:p>
      <w:pPr>
        <w:pStyle w:val="ListBullet"/>
      </w:pPr>
      <w:r>
        <w:t>Support owner — incident and user support.</w:t>
      </w:r>
    </w:p>
    <w:p>
      <w:pPr>
        <w:pStyle w:val="Heading1"/>
      </w:pPr>
      <w:r>
        <w:t>39. Lifecycle: Build → Run → Learn → Improve</w:t>
      </w:r>
    </w:p>
    <w:p>
      <w:r>
        <w:t>Synbot's lifecycle should be continuous:</w:t>
      </w:r>
    </w:p>
    <w:p>
      <w:r>
        <w:t>BUILD → TEST → DEPLOY → OBSERVE → EVALUATE → LEARN → IMPROVE → RELEASE</w:t>
      </w:r>
    </w:p>
    <w:p>
      <w:r>
        <w:t>The objective is not simply to keep the application online. The objective is to keep the platform accurate, grounded, secure, useful and maintainable as clients and systems change.</w:t>
      </w:r>
    </w:p>
    <w:p>
      <w:pPr>
        <w:pStyle w:val="Heading1"/>
      </w:pPr>
      <w:r>
        <w:t>40. Final Platform Position</w:t>
      </w:r>
    </w:p>
    <w:p>
      <w:r>
        <w:t>The thirteen-part Synbot architecture now has a complete operational progression: conversational behaviour, intelligence and grounding, prompts, evaluation, implementation, configuration, data, agents, security, product experience, integrations, and production operations.</w:t>
      </w:r>
    </w:p>
    <w:p>
      <w:r>
        <w:t>The resulting platform is designed around one principle: Synbot should remain one governed intelligence layer while the systems, domains, clients, models, integrations and workflows around it remain replaceable.</w:t>
      </w:r>
    </w:p>
    <w:p>
      <w:r>
        <w:t>Final principle: “Build once. Configure by context. Integrate through contracts. Operate with evidence. Improve continuously.”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Synbot Operations, Observability &amp; Lifecycle Framework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