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Synbot Security, Governance &amp; Audit Framework</w:t>
      </w:r>
    </w:p>
    <w:p>
      <w:pPr>
        <w:jc w:val="center"/>
      </w:pPr>
      <w:r>
        <w:rPr>
          <w:i/>
        </w:rPr>
        <w:t>Document 10 • Version 1.0</w:t>
      </w:r>
    </w:p>
    <w:p>
      <w:pPr>
        <w:jc w:val="center"/>
      </w:pPr>
      <w:r>
        <w:rPr>
          <w:b/>
        </w:rPr>
        <w:t>Security and operational governance for a multi-domain, multi-client Synbot platform</w:t>
      </w:r>
    </w:p>
    <w:p>
      <w:pPr>
        <w:pStyle w:val="Heading1"/>
      </w:pPr>
      <w:r>
        <w:t>1. Purpose</w:t>
      </w:r>
    </w:p>
    <w:p>
      <w:r>
        <w:t>Documents 1–9 define Synbot's conversational behaviour, grounding, prompts, evaluation, implementation, configuration, data architecture, and agent/tool orchestration. Document 10 defines the security and governance controls required to operate that platform safely across clients, domains, companies and user roles.</w:t>
      </w:r>
    </w:p>
    <w:p>
      <w:pPr>
        <w:pStyle w:val="IntenseQuote"/>
      </w:pPr>
      <w:r>
        <w:t>Security is an architectural property, not a prompt instruction.</w:t>
      </w:r>
    </w:p>
    <w:p>
      <w:r>
        <w:t>Synbot should remain useful and conversational, but the platform must independently enforce identity, access, tenant boundaries, data protection, action permissions, auditability and configuration governance.</w:t>
      </w:r>
    </w:p>
    <w:p>
      <w:pPr>
        <w:pStyle w:val="Heading1"/>
      </w:pPr>
      <w:r>
        <w:t>2. Governance Principles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Principle</w:t>
            </w:r>
          </w:p>
        </w:tc>
        <w:tc>
          <w:tcPr>
            <w:tcW w:type="dxa" w:w="4968"/>
            <w:shd w:fill="EAF2F8"/>
            <w:vAlign w:val="center"/>
          </w:tcPr>
          <w:p>
            <w:r>
              <w:rPr>
                <w:b/>
              </w:rPr>
              <w:t>Meaning</w:t>
            </w:r>
          </w:p>
        </w:tc>
      </w:tr>
      <w:tr>
        <w:tc>
          <w:tcPr>
            <w:tcW w:type="dxa" w:w="4968"/>
            <w:vAlign w:val="top"/>
          </w:tcPr>
          <w:p>
            <w:r>
              <w:t>Least privilege</w:t>
            </w:r>
          </w:p>
        </w:tc>
        <w:tc>
          <w:tcPr>
            <w:tcW w:type="dxa" w:w="4968"/>
            <w:vAlign w:val="top"/>
          </w:tcPr>
          <w:p>
            <w:r>
              <w:t>Users and components receive only required access</w:t>
            </w:r>
          </w:p>
        </w:tc>
      </w:tr>
      <w:tr>
        <w:tc>
          <w:tcPr>
            <w:tcW w:type="dxa" w:w="4968"/>
            <w:vAlign w:val="top"/>
          </w:tcPr>
          <w:p>
            <w:r>
              <w:t>Explicit boundaries</w:t>
            </w:r>
          </w:p>
        </w:tc>
        <w:tc>
          <w:tcPr>
            <w:tcW w:type="dxa" w:w="4968"/>
            <w:vAlign w:val="top"/>
          </w:tcPr>
          <w:p>
            <w:r>
              <w:t>Tenant, client, company and role scope are explicit</w:t>
            </w:r>
          </w:p>
        </w:tc>
      </w:tr>
      <w:tr>
        <w:tc>
          <w:tcPr>
            <w:tcW w:type="dxa" w:w="4968"/>
            <w:vAlign w:val="top"/>
          </w:tcPr>
          <w:p>
            <w:r>
              <w:t>Server-side enforcement</w:t>
            </w:r>
          </w:p>
        </w:tc>
        <w:tc>
          <w:tcPr>
            <w:tcW w:type="dxa" w:w="4968"/>
            <w:vAlign w:val="top"/>
          </w:tcPr>
          <w:p>
            <w:r>
              <w:t>Security decisions are enforced outside the LLM</w:t>
            </w:r>
          </w:p>
        </w:tc>
      </w:tr>
      <w:tr>
        <w:tc>
          <w:tcPr>
            <w:tcW w:type="dxa" w:w="4968"/>
            <w:vAlign w:val="top"/>
          </w:tcPr>
          <w:p>
            <w:r>
              <w:t>Traceability</w:t>
            </w:r>
          </w:p>
        </w:tc>
        <w:tc>
          <w:tcPr>
            <w:tcW w:type="dxa" w:w="4968"/>
            <w:vAlign w:val="top"/>
          </w:tcPr>
          <w:p>
            <w:r>
              <w:t>Important actions and outputs can be traced</w:t>
            </w:r>
          </w:p>
        </w:tc>
      </w:tr>
      <w:tr>
        <w:tc>
          <w:tcPr>
            <w:tcW w:type="dxa" w:w="4968"/>
            <w:vAlign w:val="top"/>
          </w:tcPr>
          <w:p>
            <w:r>
              <w:t>Separation of duties</w:t>
            </w:r>
          </w:p>
        </w:tc>
        <w:tc>
          <w:tcPr>
            <w:tcW w:type="dxa" w:w="4968"/>
            <w:vAlign w:val="top"/>
          </w:tcPr>
          <w:p>
            <w:r>
              <w:t>High-risk configuration/action paths can require independent approval</w:t>
            </w:r>
          </w:p>
        </w:tc>
      </w:tr>
      <w:tr>
        <w:tc>
          <w:tcPr>
            <w:tcW w:type="dxa" w:w="4968"/>
            <w:vAlign w:val="top"/>
          </w:tcPr>
          <w:p>
            <w:r>
              <w:t>Data minimisation</w:t>
            </w:r>
          </w:p>
        </w:tc>
        <w:tc>
          <w:tcPr>
            <w:tcW w:type="dxa" w:w="4968"/>
            <w:vAlign w:val="top"/>
          </w:tcPr>
          <w:p>
            <w:r>
              <w:t>Only required information is exposed</w:t>
            </w:r>
          </w:p>
        </w:tc>
      </w:tr>
      <w:tr>
        <w:tc>
          <w:tcPr>
            <w:tcW w:type="dxa" w:w="4968"/>
            <w:vAlign w:val="top"/>
          </w:tcPr>
          <w:p>
            <w:r>
              <w:t>Controlled change</w:t>
            </w:r>
          </w:p>
        </w:tc>
        <w:tc>
          <w:tcPr>
            <w:tcW w:type="dxa" w:w="4968"/>
            <w:vAlign w:val="top"/>
          </w:tcPr>
          <w:p>
            <w:r>
              <w:t>Prompts, tools, sources and configuration are versioned</w:t>
            </w:r>
          </w:p>
        </w:tc>
      </w:tr>
      <w:tr>
        <w:tc>
          <w:tcPr>
            <w:tcW w:type="dxa" w:w="4968"/>
            <w:vAlign w:val="top"/>
          </w:tcPr>
          <w:p>
            <w:r>
              <w:t>Fail safely</w:t>
            </w:r>
          </w:p>
        </w:tc>
        <w:tc>
          <w:tcPr>
            <w:tcW w:type="dxa" w:w="4968"/>
            <w:vAlign w:val="top"/>
          </w:tcPr>
          <w:p>
            <w:r>
              <w:t>Security uncertainty should stop or restrict the operation</w:t>
            </w:r>
          </w:p>
        </w:tc>
      </w:tr>
      <w:tr>
        <w:tc>
          <w:tcPr>
            <w:tcW w:type="dxa" w:w="4968"/>
            <w:vAlign w:val="top"/>
          </w:tcPr>
          <w:p>
            <w:r>
              <w:t>Human accountability</w:t>
            </w:r>
          </w:p>
        </w:tc>
        <w:tc>
          <w:tcPr>
            <w:tcW w:type="dxa" w:w="4968"/>
            <w:vAlign w:val="top"/>
          </w:tcPr>
          <w:p>
            <w:r>
              <w:t>Consequential decisions can be escalated to authorised humans</w:t>
            </w:r>
          </w:p>
        </w:tc>
      </w:tr>
    </w:tbl>
    <w:p>
      <w:pPr>
        <w:pStyle w:val="Heading1"/>
      </w:pPr>
      <w:r>
        <w:t>3. Security Boundary Model</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Layer</w:t>
            </w:r>
          </w:p>
        </w:tc>
        <w:tc>
          <w:tcPr>
            <w:tcW w:type="dxa" w:w="4968"/>
            <w:shd w:fill="EAF2F8"/>
            <w:vAlign w:val="center"/>
          </w:tcPr>
          <w:p>
            <w:r>
              <w:rPr>
                <w:b/>
              </w:rPr>
              <w:t>Security responsibility</w:t>
            </w:r>
          </w:p>
        </w:tc>
      </w:tr>
      <w:tr>
        <w:tc>
          <w:tcPr>
            <w:tcW w:type="dxa" w:w="4968"/>
            <w:vAlign w:val="top"/>
          </w:tcPr>
          <w:p>
            <w:r>
              <w:t>Identity</w:t>
            </w:r>
          </w:p>
        </w:tc>
        <w:tc>
          <w:tcPr>
            <w:tcW w:type="dxa" w:w="4968"/>
            <w:vAlign w:val="top"/>
          </w:tcPr>
          <w:p>
            <w:r>
              <w:t>Authenticate the user/service</w:t>
            </w:r>
          </w:p>
        </w:tc>
      </w:tr>
      <w:tr>
        <w:tc>
          <w:tcPr>
            <w:tcW w:type="dxa" w:w="4968"/>
            <w:vAlign w:val="top"/>
          </w:tcPr>
          <w:p>
            <w:r>
              <w:t>Session</w:t>
            </w:r>
          </w:p>
        </w:tc>
        <w:tc>
          <w:tcPr>
            <w:tcW w:type="dxa" w:w="4968"/>
            <w:vAlign w:val="top"/>
          </w:tcPr>
          <w:p>
            <w:r>
              <w:t>Maintain authenticated session and context</w:t>
            </w:r>
          </w:p>
        </w:tc>
      </w:tr>
      <w:tr>
        <w:tc>
          <w:tcPr>
            <w:tcW w:type="dxa" w:w="4968"/>
            <w:vAlign w:val="top"/>
          </w:tcPr>
          <w:p>
            <w:r>
              <w:t>Tenant</w:t>
            </w:r>
          </w:p>
        </w:tc>
        <w:tc>
          <w:tcPr>
            <w:tcW w:type="dxa" w:w="4968"/>
            <w:vAlign w:val="top"/>
          </w:tcPr>
          <w:p>
            <w:r>
              <w:t>Identify authorised client</w:t>
            </w:r>
          </w:p>
        </w:tc>
      </w:tr>
      <w:tr>
        <w:tc>
          <w:tcPr>
            <w:tcW w:type="dxa" w:w="4968"/>
            <w:vAlign w:val="top"/>
          </w:tcPr>
          <w:p>
            <w:r>
              <w:t>Company</w:t>
            </w:r>
          </w:p>
        </w:tc>
        <w:tc>
          <w:tcPr>
            <w:tcW w:type="dxa" w:w="4968"/>
            <w:vAlign w:val="top"/>
          </w:tcPr>
          <w:p>
            <w:r>
              <w:t>Identify active subsidiary/business boundary</w:t>
            </w:r>
          </w:p>
        </w:tc>
      </w:tr>
      <w:tr>
        <w:tc>
          <w:tcPr>
            <w:tcW w:type="dxa" w:w="4968"/>
            <w:vAlign w:val="top"/>
          </w:tcPr>
          <w:p>
            <w:r>
              <w:t>Role</w:t>
            </w:r>
          </w:p>
        </w:tc>
        <w:tc>
          <w:tcPr>
            <w:tcW w:type="dxa" w:w="4968"/>
            <w:vAlign w:val="top"/>
          </w:tcPr>
          <w:p>
            <w:r>
              <w:t>Determine permitted capabilities</w:t>
            </w:r>
          </w:p>
        </w:tc>
      </w:tr>
      <w:tr>
        <w:tc>
          <w:tcPr>
            <w:tcW w:type="dxa" w:w="4968"/>
            <w:vAlign w:val="top"/>
          </w:tcPr>
          <w:p>
            <w:r>
              <w:t>Data</w:t>
            </w:r>
          </w:p>
        </w:tc>
        <w:tc>
          <w:tcPr>
            <w:tcW w:type="dxa" w:w="4968"/>
            <w:vAlign w:val="top"/>
          </w:tcPr>
          <w:p>
            <w:r>
              <w:t>Enforce record/document access</w:t>
            </w:r>
          </w:p>
        </w:tc>
      </w:tr>
      <w:tr>
        <w:tc>
          <w:tcPr>
            <w:tcW w:type="dxa" w:w="4968"/>
            <w:vAlign w:val="top"/>
          </w:tcPr>
          <w:p>
            <w:r>
              <w:t>Tool</w:t>
            </w:r>
          </w:p>
        </w:tc>
        <w:tc>
          <w:tcPr>
            <w:tcW w:type="dxa" w:w="4968"/>
            <w:vAlign w:val="top"/>
          </w:tcPr>
          <w:p>
            <w:r>
              <w:t>Enforce action permissions</w:t>
            </w:r>
          </w:p>
        </w:tc>
      </w:tr>
      <w:tr>
        <w:tc>
          <w:tcPr>
            <w:tcW w:type="dxa" w:w="4968"/>
            <w:vAlign w:val="top"/>
          </w:tcPr>
          <w:p>
            <w:r>
              <w:t>Workflow</w:t>
            </w:r>
          </w:p>
        </w:tc>
        <w:tc>
          <w:tcPr>
            <w:tcW w:type="dxa" w:w="4968"/>
            <w:vAlign w:val="top"/>
          </w:tcPr>
          <w:p>
            <w:r>
              <w:t>Validate consequential operations</w:t>
            </w:r>
          </w:p>
        </w:tc>
      </w:tr>
      <w:tr>
        <w:tc>
          <w:tcPr>
            <w:tcW w:type="dxa" w:w="4968"/>
            <w:vAlign w:val="top"/>
          </w:tcPr>
          <w:p>
            <w:r>
              <w:t>LLM</w:t>
            </w:r>
          </w:p>
        </w:tc>
        <w:tc>
          <w:tcPr>
            <w:tcW w:type="dxa" w:w="4968"/>
            <w:vAlign w:val="top"/>
          </w:tcPr>
          <w:p>
            <w:r>
              <w:t>Interpret authorised context; not the security boundary</w:t>
            </w:r>
          </w:p>
        </w:tc>
      </w:tr>
      <w:tr>
        <w:tc>
          <w:tcPr>
            <w:tcW w:type="dxa" w:w="4968"/>
            <w:vAlign w:val="top"/>
          </w:tcPr>
          <w:p>
            <w:r>
              <w:t>Audit</w:t>
            </w:r>
          </w:p>
        </w:tc>
        <w:tc>
          <w:tcPr>
            <w:tcW w:type="dxa" w:w="4968"/>
            <w:vAlign w:val="top"/>
          </w:tcPr>
          <w:p>
            <w:r>
              <w:t>Record relevant security and operational events</w:t>
            </w:r>
          </w:p>
        </w:tc>
      </w:tr>
    </w:tbl>
    <w:p>
      <w:pPr>
        <w:pStyle w:val="Heading1"/>
      </w:pPr>
      <w:r>
        <w:t>4. Identity Context</w:t>
      </w:r>
    </w:p>
    <w:p>
      <w:r>
        <w:t>Every Synbot request should resolve a trusted runtime identity context.</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Field</w:t>
            </w:r>
          </w:p>
        </w:tc>
        <w:tc>
          <w:tcPr>
            <w:tcW w:type="dxa" w:w="4968"/>
            <w:shd w:fill="EAF2F8"/>
            <w:vAlign w:val="center"/>
          </w:tcPr>
          <w:p>
            <w:r>
              <w:rPr>
                <w:b/>
              </w:rPr>
              <w:t>Purpose</w:t>
            </w:r>
          </w:p>
        </w:tc>
      </w:tr>
      <w:tr>
        <w:tc>
          <w:tcPr>
            <w:tcW w:type="dxa" w:w="4968"/>
            <w:vAlign w:val="top"/>
          </w:tcPr>
          <w:p>
            <w:r>
              <w:t>user_id</w:t>
            </w:r>
          </w:p>
        </w:tc>
        <w:tc>
          <w:tcPr>
            <w:tcW w:type="dxa" w:w="4968"/>
            <w:vAlign w:val="top"/>
          </w:tcPr>
          <w:p>
            <w:r>
              <w:t>Authenticated user identity</w:t>
            </w:r>
          </w:p>
        </w:tc>
      </w:tr>
      <w:tr>
        <w:tc>
          <w:tcPr>
            <w:tcW w:type="dxa" w:w="4968"/>
            <w:vAlign w:val="top"/>
          </w:tcPr>
          <w:p>
            <w:r>
              <w:t>tenant_id</w:t>
            </w:r>
          </w:p>
        </w:tc>
        <w:tc>
          <w:tcPr>
            <w:tcW w:type="dxa" w:w="4968"/>
            <w:vAlign w:val="top"/>
          </w:tcPr>
          <w:p>
            <w:r>
              <w:t>Client/organisation boundary</w:t>
            </w:r>
          </w:p>
        </w:tc>
      </w:tr>
      <w:tr>
        <w:tc>
          <w:tcPr>
            <w:tcW w:type="dxa" w:w="4968"/>
            <w:vAlign w:val="top"/>
          </w:tcPr>
          <w:p>
            <w:r>
              <w:t>company_id</w:t>
            </w:r>
          </w:p>
        </w:tc>
        <w:tc>
          <w:tcPr>
            <w:tcW w:type="dxa" w:w="4968"/>
            <w:vAlign w:val="top"/>
          </w:tcPr>
          <w:p>
            <w:r>
              <w:t>Active subsidiary/business context</w:t>
            </w:r>
          </w:p>
        </w:tc>
      </w:tr>
      <w:tr>
        <w:tc>
          <w:tcPr>
            <w:tcW w:type="dxa" w:w="4968"/>
            <w:vAlign w:val="top"/>
          </w:tcPr>
          <w:p>
            <w:r>
              <w:t>role_id</w:t>
            </w:r>
          </w:p>
        </w:tc>
        <w:tc>
          <w:tcPr>
            <w:tcW w:type="dxa" w:w="4968"/>
            <w:vAlign w:val="top"/>
          </w:tcPr>
          <w:p>
            <w:r>
              <w:t>Role and permission scope</w:t>
            </w:r>
          </w:p>
        </w:tc>
      </w:tr>
      <w:tr>
        <w:tc>
          <w:tcPr>
            <w:tcW w:type="dxa" w:w="4968"/>
            <w:vAlign w:val="top"/>
          </w:tcPr>
          <w:p>
            <w:r>
              <w:t>session_id</w:t>
            </w:r>
          </w:p>
        </w:tc>
        <w:tc>
          <w:tcPr>
            <w:tcW w:type="dxa" w:w="4968"/>
            <w:vAlign w:val="top"/>
          </w:tcPr>
          <w:p>
            <w:r>
              <w:t>Conversation/session trace</w:t>
            </w:r>
          </w:p>
        </w:tc>
      </w:tr>
      <w:tr>
        <w:tc>
          <w:tcPr>
            <w:tcW w:type="dxa" w:w="4968"/>
            <w:vAlign w:val="top"/>
          </w:tcPr>
          <w:p>
            <w:r>
              <w:t>auth_context</w:t>
            </w:r>
          </w:p>
        </w:tc>
        <w:tc>
          <w:tcPr>
            <w:tcW w:type="dxa" w:w="4968"/>
            <w:vAlign w:val="top"/>
          </w:tcPr>
          <w:p>
            <w:r>
              <w:t>Authentication state</w:t>
            </w:r>
          </w:p>
        </w:tc>
      </w:tr>
      <w:tr>
        <w:tc>
          <w:tcPr>
            <w:tcW w:type="dxa" w:w="4968"/>
            <w:vAlign w:val="top"/>
          </w:tcPr>
          <w:p>
            <w:r>
              <w:t>permission_context</w:t>
            </w:r>
          </w:p>
        </w:tc>
        <w:tc>
          <w:tcPr>
            <w:tcW w:type="dxa" w:w="4968"/>
            <w:vAlign w:val="top"/>
          </w:tcPr>
          <w:p>
            <w:r>
              <w:t>Resolved capabilities</w:t>
            </w:r>
          </w:p>
        </w:tc>
      </w:tr>
      <w:tr>
        <w:tc>
          <w:tcPr>
            <w:tcW w:type="dxa" w:w="4968"/>
            <w:vAlign w:val="top"/>
          </w:tcPr>
          <w:p>
            <w:r>
              <w:t>timestamp</w:t>
            </w:r>
          </w:p>
        </w:tc>
        <w:tc>
          <w:tcPr>
            <w:tcW w:type="dxa" w:w="4968"/>
            <w:vAlign w:val="top"/>
          </w:tcPr>
          <w:p>
            <w:r>
              <w:t>Request timing</w:t>
            </w:r>
          </w:p>
        </w:tc>
      </w:tr>
    </w:tbl>
    <w:p>
      <w:r>
        <w:t>Identity values used for access control should come from trusted authentication/session infrastructure, not from user-provided text.</w:t>
      </w:r>
    </w:p>
    <w:p>
      <w:pPr>
        <w:pStyle w:val="Heading1"/>
      </w:pPr>
      <w:r>
        <w:t>5. Multi-Tenant Security</w:t>
      </w:r>
    </w:p>
    <w:p>
      <w:r>
        <w:t>Synbot's multi-client architecture makes tenant isolation a foundational control. A prompt saying 'only use this client's data' is not sufficient.</w:t>
      </w:r>
    </w:p>
    <w:p>
      <w:pPr>
        <w:pStyle w:val="ListBullet"/>
      </w:pPr>
      <w:r>
        <w:t>Tenant identity is resolved before data access.</w:t>
      </w:r>
    </w:p>
    <w:p>
      <w:pPr>
        <w:pStyle w:val="ListBullet"/>
      </w:pPr>
      <w:r>
        <w:t>Database queries enforce tenant filtering.</w:t>
      </w:r>
    </w:p>
    <w:p>
      <w:pPr>
        <w:pStyle w:val="ListBullet"/>
      </w:pPr>
      <w:r>
        <w:t>Retrieval collections enforce tenant filtering.</w:t>
      </w:r>
    </w:p>
    <w:p>
      <w:pPr>
        <w:pStyle w:val="ListBullet"/>
      </w:pPr>
      <w:r>
        <w:t>Tool services validate tenant scope.</w:t>
      </w:r>
    </w:p>
    <w:p>
      <w:pPr>
        <w:pStyle w:val="ListBullet"/>
      </w:pPr>
      <w:r>
        <w:t>Cached data carries tenant identity.</w:t>
      </w:r>
    </w:p>
    <w:p>
      <w:pPr>
        <w:pStyle w:val="ListBullet"/>
      </w:pPr>
      <w:r>
        <w:t>Logs and telemetry are appropriately tenant-scoped.</w:t>
      </w:r>
    </w:p>
    <w:p>
      <w:pPr>
        <w:pStyle w:val="ListBullet"/>
      </w:pPr>
      <w:r>
        <w:t>Cross-tenant requests are denied or explicitly routed through authorised administrative workflows.</w:t>
      </w:r>
    </w:p>
    <w:p>
      <w:pPr>
        <w:pStyle w:val="Heading1"/>
      </w:pPr>
      <w:r>
        <w:t>6. Multi-Company / Subsidiary Security</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Risk</w:t>
            </w:r>
          </w:p>
        </w:tc>
        <w:tc>
          <w:tcPr>
            <w:tcW w:type="dxa" w:w="4968"/>
            <w:shd w:fill="EAF2F8"/>
            <w:vAlign w:val="center"/>
          </w:tcPr>
          <w:p>
            <w:r>
              <w:rPr>
                <w:b/>
              </w:rPr>
              <w:t>Control</w:t>
            </w:r>
          </w:p>
        </w:tc>
      </w:tr>
      <w:tr>
        <w:tc>
          <w:tcPr>
            <w:tcW w:type="dxa" w:w="4968"/>
            <w:vAlign w:val="top"/>
          </w:tcPr>
          <w:p>
            <w:r>
              <w:t>Wrong active company</w:t>
            </w:r>
          </w:p>
        </w:tc>
        <w:tc>
          <w:tcPr>
            <w:tcW w:type="dxa" w:w="4968"/>
            <w:vAlign w:val="top"/>
          </w:tcPr>
          <w:p>
            <w:r>
              <w:t>Explicit company context</w:t>
            </w:r>
          </w:p>
        </w:tc>
      </w:tr>
      <w:tr>
        <w:tc>
          <w:tcPr>
            <w:tcW w:type="dxa" w:w="4968"/>
            <w:vAlign w:val="top"/>
          </w:tcPr>
          <w:p>
            <w:r>
              <w:t>Cross-company retrieval</w:t>
            </w:r>
          </w:p>
        </w:tc>
        <w:tc>
          <w:tcPr>
            <w:tcW w:type="dxa" w:w="4968"/>
            <w:vAlign w:val="top"/>
          </w:tcPr>
          <w:p>
            <w:r>
              <w:t>Server-side company filters</w:t>
            </w:r>
          </w:p>
        </w:tc>
      </w:tr>
      <w:tr>
        <w:tc>
          <w:tcPr>
            <w:tcW w:type="dxa" w:w="4968"/>
            <w:vAlign w:val="top"/>
          </w:tcPr>
          <w:p>
            <w:r>
              <w:t>Cross-company tool action</w:t>
            </w:r>
          </w:p>
        </w:tc>
        <w:tc>
          <w:tcPr>
            <w:tcW w:type="dxa" w:w="4968"/>
            <w:vAlign w:val="top"/>
          </w:tcPr>
          <w:p>
            <w:r>
              <w:t>Tool permission + company validation</w:t>
            </w:r>
          </w:p>
        </w:tc>
      </w:tr>
      <w:tr>
        <w:tc>
          <w:tcPr>
            <w:tcW w:type="dxa" w:w="4968"/>
            <w:vAlign w:val="top"/>
          </w:tcPr>
          <w:p>
            <w:r>
              <w:t>Conversation leakage</w:t>
            </w:r>
          </w:p>
        </w:tc>
        <w:tc>
          <w:tcPr>
            <w:tcW w:type="dxa" w:w="4968"/>
            <w:vAlign w:val="top"/>
          </w:tcPr>
          <w:p>
            <w:r>
              <w:t>Company-aware context management</w:t>
            </w:r>
          </w:p>
        </w:tc>
      </w:tr>
      <w:tr>
        <w:tc>
          <w:tcPr>
            <w:tcW w:type="dxa" w:w="4968"/>
            <w:vAlign w:val="top"/>
          </w:tcPr>
          <w:p>
            <w:r>
              <w:t>Ambiguous request</w:t>
            </w:r>
          </w:p>
        </w:tc>
        <w:tc>
          <w:tcPr>
            <w:tcW w:type="dxa" w:w="4968"/>
            <w:vAlign w:val="top"/>
          </w:tcPr>
          <w:p>
            <w:r>
              <w:t>Clarify when company materially matters</w:t>
            </w:r>
          </w:p>
        </w:tc>
      </w:tr>
      <w:tr>
        <w:tc>
          <w:tcPr>
            <w:tcW w:type="dxa" w:w="4968"/>
            <w:vAlign w:val="top"/>
          </w:tcPr>
          <w:p>
            <w:r>
              <w:t>Shared parent data</w:t>
            </w:r>
          </w:p>
        </w:tc>
        <w:tc>
          <w:tcPr>
            <w:tcW w:type="dxa" w:w="4968"/>
            <w:vAlign w:val="top"/>
          </w:tcPr>
          <w:p>
            <w:r>
              <w:t>Explicitly classify as shared vs company-specific</w:t>
            </w:r>
          </w:p>
        </w:tc>
      </w:tr>
    </w:tbl>
    <w:p>
      <w:pPr>
        <w:pStyle w:val="Heading1"/>
      </w:pPr>
      <w:r>
        <w:t>7. Role-Based Access Control</w:t>
      </w:r>
    </w:p>
    <w:p>
      <w:r>
        <w:t>Role-Based Access Control (RBAC) should define what a user can see and do.</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Role dimension</w:t>
            </w:r>
          </w:p>
        </w:tc>
        <w:tc>
          <w:tcPr>
            <w:tcW w:type="dxa" w:w="4968"/>
            <w:shd w:fill="EAF2F8"/>
            <w:vAlign w:val="center"/>
          </w:tcPr>
          <w:p>
            <w:r>
              <w:rPr>
                <w:b/>
              </w:rPr>
              <w:t>Examples</w:t>
            </w:r>
          </w:p>
        </w:tc>
      </w:tr>
      <w:tr>
        <w:tc>
          <w:tcPr>
            <w:tcW w:type="dxa" w:w="4968"/>
            <w:vAlign w:val="top"/>
          </w:tcPr>
          <w:p>
            <w:r>
              <w:t>Read permissions</w:t>
            </w:r>
          </w:p>
        </w:tc>
        <w:tc>
          <w:tcPr>
            <w:tcW w:type="dxa" w:w="4968"/>
            <w:vAlign w:val="top"/>
          </w:tcPr>
          <w:p>
            <w:r>
              <w:t>Patient record, stock, reports</w:t>
            </w:r>
          </w:p>
        </w:tc>
      </w:tr>
      <w:tr>
        <w:tc>
          <w:tcPr>
            <w:tcW w:type="dxa" w:w="4968"/>
            <w:vAlign w:val="top"/>
          </w:tcPr>
          <w:p>
            <w:r>
              <w:t>Write permissions</w:t>
            </w:r>
          </w:p>
        </w:tc>
        <w:tc>
          <w:tcPr>
            <w:tcW w:type="dxa" w:w="4968"/>
            <w:vAlign w:val="top"/>
          </w:tcPr>
          <w:p>
            <w:r>
              <w:t>Notes, status changes</w:t>
            </w:r>
          </w:p>
        </w:tc>
      </w:tr>
      <w:tr>
        <w:tc>
          <w:tcPr>
            <w:tcW w:type="dxa" w:w="4968"/>
            <w:vAlign w:val="top"/>
          </w:tcPr>
          <w:p>
            <w:r>
              <w:t>Transaction permissions</w:t>
            </w:r>
          </w:p>
        </w:tc>
        <w:tc>
          <w:tcPr>
            <w:tcW w:type="dxa" w:w="4968"/>
            <w:vAlign w:val="top"/>
          </w:tcPr>
          <w:p>
            <w:r>
              <w:t>Payments, orders</w:t>
            </w:r>
          </w:p>
        </w:tc>
      </w:tr>
      <w:tr>
        <w:tc>
          <w:tcPr>
            <w:tcW w:type="dxa" w:w="4968"/>
            <w:vAlign w:val="top"/>
          </w:tcPr>
          <w:p>
            <w:r>
              <w:t>Administrative permissions</w:t>
            </w:r>
          </w:p>
        </w:tc>
        <w:tc>
          <w:tcPr>
            <w:tcW w:type="dxa" w:w="4968"/>
            <w:vAlign w:val="top"/>
          </w:tcPr>
          <w:p>
            <w:r>
              <w:t>Configuration/company management</w:t>
            </w:r>
          </w:p>
        </w:tc>
      </w:tr>
      <w:tr>
        <w:tc>
          <w:tcPr>
            <w:tcW w:type="dxa" w:w="4968"/>
            <w:vAlign w:val="top"/>
          </w:tcPr>
          <w:p>
            <w:r>
              <w:t>Sensitive-data permissions</w:t>
            </w:r>
          </w:p>
        </w:tc>
        <w:tc>
          <w:tcPr>
            <w:tcW w:type="dxa" w:w="4968"/>
            <w:vAlign w:val="top"/>
          </w:tcPr>
          <w:p>
            <w:r>
              <w:t>Restricted clinical/financial records</w:t>
            </w:r>
          </w:p>
        </w:tc>
      </w:tr>
      <w:tr>
        <w:tc>
          <w:tcPr>
            <w:tcW w:type="dxa" w:w="4968"/>
            <w:vAlign w:val="top"/>
          </w:tcPr>
          <w:p>
            <w:r>
              <w:t>Approval permissions</w:t>
            </w:r>
          </w:p>
        </w:tc>
        <w:tc>
          <w:tcPr>
            <w:tcW w:type="dxa" w:w="4968"/>
            <w:vAlign w:val="top"/>
          </w:tcPr>
          <w:p>
            <w:r>
              <w:t>Authorise consequential workflows</w:t>
            </w:r>
          </w:p>
        </w:tc>
      </w:tr>
    </w:tbl>
    <w:p>
      <w:r>
        <w:t>RBAC decisions must be enforced by backend services and tools. The LLM may receive the resolved permissions as context, but it must not be trusted to enforce them.</w:t>
      </w:r>
    </w:p>
    <w:p>
      <w:pPr>
        <w:pStyle w:val="Heading1"/>
      </w:pPr>
      <w:r>
        <w:t>8. Attribute-Based Controls</w:t>
      </w:r>
    </w:p>
    <w:p>
      <w:r>
        <w:t>For complex clients, Role-Based Access Control can be supplemented by attributes such as department, location, company, record type or workflow state.</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Attribute</w:t>
            </w:r>
          </w:p>
        </w:tc>
        <w:tc>
          <w:tcPr>
            <w:tcW w:type="dxa" w:w="4968"/>
            <w:shd w:fill="EAF2F8"/>
            <w:vAlign w:val="center"/>
          </w:tcPr>
          <w:p>
            <w:r>
              <w:rPr>
                <w:b/>
              </w:rPr>
              <w:t>Example</w:t>
            </w:r>
          </w:p>
        </w:tc>
      </w:tr>
      <w:tr>
        <w:tc>
          <w:tcPr>
            <w:tcW w:type="dxa" w:w="4968"/>
            <w:vAlign w:val="top"/>
          </w:tcPr>
          <w:p>
            <w:r>
              <w:t>Department</w:t>
            </w:r>
          </w:p>
        </w:tc>
        <w:tc>
          <w:tcPr>
            <w:tcW w:type="dxa" w:w="4968"/>
            <w:vAlign w:val="top"/>
          </w:tcPr>
          <w:p>
            <w:r>
              <w:t>Radiology</w:t>
            </w:r>
          </w:p>
        </w:tc>
      </w:tr>
      <w:tr>
        <w:tc>
          <w:tcPr>
            <w:tcW w:type="dxa" w:w="4968"/>
            <w:vAlign w:val="top"/>
          </w:tcPr>
          <w:p>
            <w:r>
              <w:t>Location</w:t>
            </w:r>
          </w:p>
        </w:tc>
        <w:tc>
          <w:tcPr>
            <w:tcW w:type="dxa" w:w="4968"/>
            <w:vAlign w:val="top"/>
          </w:tcPr>
          <w:p>
            <w:r>
              <w:t>Lagos branch</w:t>
            </w:r>
          </w:p>
        </w:tc>
      </w:tr>
      <w:tr>
        <w:tc>
          <w:tcPr>
            <w:tcW w:type="dxa" w:w="4968"/>
            <w:vAlign w:val="top"/>
          </w:tcPr>
          <w:p>
            <w:r>
              <w:t>Company</w:t>
            </w:r>
          </w:p>
        </w:tc>
        <w:tc>
          <w:tcPr>
            <w:tcW w:type="dxa" w:w="4968"/>
            <w:vAlign w:val="top"/>
          </w:tcPr>
          <w:p>
            <w:r>
              <w:t>Atiat Insurance</w:t>
            </w:r>
          </w:p>
        </w:tc>
      </w:tr>
      <w:tr>
        <w:tc>
          <w:tcPr>
            <w:tcW w:type="dxa" w:w="4968"/>
            <w:vAlign w:val="top"/>
          </w:tcPr>
          <w:p>
            <w:r>
              <w:t>Record type</w:t>
            </w:r>
          </w:p>
        </w:tc>
        <w:tc>
          <w:tcPr>
            <w:tcW w:type="dxa" w:w="4968"/>
            <w:vAlign w:val="top"/>
          </w:tcPr>
          <w:p>
            <w:r>
              <w:t>Claims</w:t>
            </w:r>
          </w:p>
        </w:tc>
      </w:tr>
      <w:tr>
        <w:tc>
          <w:tcPr>
            <w:tcW w:type="dxa" w:w="4968"/>
            <w:vAlign w:val="top"/>
          </w:tcPr>
          <w:p>
            <w:r>
              <w:t>Workflow state</w:t>
            </w:r>
          </w:p>
        </w:tc>
        <w:tc>
          <w:tcPr>
            <w:tcW w:type="dxa" w:w="4968"/>
            <w:vAlign w:val="top"/>
          </w:tcPr>
          <w:p>
            <w:r>
              <w:t>Pending approval</w:t>
            </w:r>
          </w:p>
        </w:tc>
      </w:tr>
      <w:tr>
        <w:tc>
          <w:tcPr>
            <w:tcW w:type="dxa" w:w="4968"/>
            <w:vAlign w:val="top"/>
          </w:tcPr>
          <w:p>
            <w:r>
              <w:t>Sensitivity</w:t>
            </w:r>
          </w:p>
        </w:tc>
        <w:tc>
          <w:tcPr>
            <w:tcW w:type="dxa" w:w="4968"/>
            <w:vAlign w:val="top"/>
          </w:tcPr>
          <w:p>
            <w:r>
              <w:t>Restricted</w:t>
            </w:r>
          </w:p>
        </w:tc>
      </w:tr>
    </w:tbl>
    <w:p>
      <w:pPr>
        <w:pStyle w:val="Heading1"/>
      </w:pPr>
      <w:r>
        <w:t>9. Permission Decision Pattern</w:t>
      </w:r>
    </w:p>
    <w:p>
      <w:pPr>
        <w:pStyle w:val="IntenseQuote"/>
      </w:pPr>
      <w:r>
        <w:t>Identify → Resolve scope → Check permission → Filter evidence → Execute if authorised → Audit</w:t>
      </w:r>
    </w:p>
    <w:p>
      <w:r>
        <w:t>If permission cannot be confidently established for a consequential operation, the system should not execute the action.</w:t>
      </w:r>
    </w:p>
    <w:p>
      <w:pPr>
        <w:pStyle w:val="Heading1"/>
      </w:pPr>
      <w:r>
        <w:t>10. Data Classification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Class</w:t>
            </w:r>
          </w:p>
        </w:tc>
        <w:tc>
          <w:tcPr>
            <w:tcW w:type="dxa" w:w="3312"/>
            <w:shd w:fill="EAF2F8"/>
            <w:vAlign w:val="center"/>
          </w:tcPr>
          <w:p>
            <w:r>
              <w:rPr>
                <w:b/>
              </w:rPr>
              <w:t>Typical examples</w:t>
            </w:r>
          </w:p>
        </w:tc>
        <w:tc>
          <w:tcPr>
            <w:tcW w:type="dxa" w:w="3312"/>
            <w:shd w:fill="EAF2F8"/>
            <w:vAlign w:val="center"/>
          </w:tcPr>
          <w:p>
            <w:r>
              <w:rPr>
                <w:b/>
              </w:rPr>
              <w:t>Controls</w:t>
            </w:r>
          </w:p>
        </w:tc>
      </w:tr>
      <w:tr>
        <w:tc>
          <w:tcPr>
            <w:tcW w:type="dxa" w:w="3312"/>
            <w:vAlign w:val="top"/>
          </w:tcPr>
          <w:p>
            <w:r>
              <w:t>Public</w:t>
            </w:r>
          </w:p>
        </w:tc>
        <w:tc>
          <w:tcPr>
            <w:tcW w:type="dxa" w:w="3312"/>
            <w:vAlign w:val="top"/>
          </w:tcPr>
          <w:p>
            <w:r>
              <w:t>Public company information</w:t>
            </w:r>
          </w:p>
        </w:tc>
        <w:tc>
          <w:tcPr>
            <w:tcW w:type="dxa" w:w="3312"/>
            <w:vAlign w:val="top"/>
          </w:tcPr>
          <w:p>
            <w:r>
              <w:t>Normal access controls</w:t>
            </w:r>
          </w:p>
        </w:tc>
      </w:tr>
      <w:tr>
        <w:tc>
          <w:tcPr>
            <w:tcW w:type="dxa" w:w="3312"/>
            <w:vAlign w:val="top"/>
          </w:tcPr>
          <w:p>
            <w:r>
              <w:t>Internal</w:t>
            </w:r>
          </w:p>
        </w:tc>
        <w:tc>
          <w:tcPr>
            <w:tcW w:type="dxa" w:w="3312"/>
            <w:vAlign w:val="top"/>
          </w:tcPr>
          <w:p>
            <w:r>
              <w:t>Internal procedures, operating information</w:t>
            </w:r>
          </w:p>
        </w:tc>
        <w:tc>
          <w:tcPr>
            <w:tcW w:type="dxa" w:w="3312"/>
            <w:vAlign w:val="top"/>
          </w:tcPr>
          <w:p>
            <w:r>
              <w:t>Authenticated access</w:t>
            </w:r>
          </w:p>
        </w:tc>
      </w:tr>
      <w:tr>
        <w:tc>
          <w:tcPr>
            <w:tcW w:type="dxa" w:w="3312"/>
            <w:vAlign w:val="top"/>
          </w:tcPr>
          <w:p>
            <w:r>
              <w:t>Confidential</w:t>
            </w:r>
          </w:p>
        </w:tc>
        <w:tc>
          <w:tcPr>
            <w:tcW w:type="dxa" w:w="3312"/>
            <w:vAlign w:val="top"/>
          </w:tcPr>
          <w:p>
            <w:r>
              <w:t>Business records, customer information</w:t>
            </w:r>
          </w:p>
        </w:tc>
        <w:tc>
          <w:tcPr>
            <w:tcW w:type="dxa" w:w="3312"/>
            <w:vAlign w:val="top"/>
          </w:tcPr>
          <w:p>
            <w:r>
              <w:t>Role/company restrictions</w:t>
            </w:r>
          </w:p>
        </w:tc>
      </w:tr>
      <w:tr>
        <w:tc>
          <w:tcPr>
            <w:tcW w:type="dxa" w:w="3312"/>
            <w:vAlign w:val="top"/>
          </w:tcPr>
          <w:p>
            <w:r>
              <w:t>Restricted</w:t>
            </w:r>
          </w:p>
        </w:tc>
        <w:tc>
          <w:tcPr>
            <w:tcW w:type="dxa" w:w="3312"/>
            <w:vAlign w:val="top"/>
          </w:tcPr>
          <w:p>
            <w:r>
              <w:t>Sensitive clinical, financial or security information</w:t>
            </w:r>
          </w:p>
        </w:tc>
        <w:tc>
          <w:tcPr>
            <w:tcW w:type="dxa" w:w="3312"/>
            <w:vAlign w:val="top"/>
          </w:tcPr>
          <w:p>
            <w:r>
              <w:t>Strict role + audit controls</w:t>
            </w:r>
          </w:p>
        </w:tc>
      </w:tr>
    </w:tbl>
    <w:p>
      <w:r>
        <w:t>Actual classifications should be defined with each client and mapped to applicable privacy, contractual or regulatory requirements.</w:t>
      </w:r>
    </w:p>
    <w:p>
      <w:pPr>
        <w:pStyle w:val="Heading1"/>
      </w:pPr>
      <w:r>
        <w:t>11. Data Minimisation</w:t>
      </w:r>
    </w:p>
    <w:p>
      <w:pPr>
        <w:pStyle w:val="ListBullet"/>
      </w:pPr>
      <w:r>
        <w:t>Retrieve only records relevant to the request.</w:t>
      </w:r>
    </w:p>
    <w:p>
      <w:pPr>
        <w:pStyle w:val="ListBullet"/>
      </w:pPr>
      <w:r>
        <w:t>Do not load an entire patient/customer/account history when a single record is sufficient.</w:t>
      </w:r>
    </w:p>
    <w:p>
      <w:pPr>
        <w:pStyle w:val="ListBullet"/>
      </w:pPr>
      <w:r>
        <w:t>Do not expose hidden fields merely because they exist.</w:t>
      </w:r>
    </w:p>
    <w:p>
      <w:pPr>
        <w:pStyle w:val="ListBullet"/>
      </w:pPr>
      <w:r>
        <w:t>Keep retrieved document context narrow.</w:t>
      </w:r>
    </w:p>
    <w:p>
      <w:pPr>
        <w:pStyle w:val="ListBullet"/>
      </w:pPr>
      <w:r>
        <w:t>Do not place credentials, secrets or unnecessary personal data into model context.</w:t>
      </w:r>
    </w:p>
    <w:p>
      <w:pPr>
        <w:pStyle w:val="ListBullet"/>
      </w:pPr>
      <w:r>
        <w:t>Retain only telemetry required for operations, security and agreed audit purposes.</w:t>
      </w:r>
    </w:p>
    <w:p>
      <w:pPr>
        <w:pStyle w:val="Heading1"/>
      </w:pPr>
      <w:r>
        <w:t>12. Secrets &amp; Credentials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Rule</w:t>
            </w:r>
          </w:p>
        </w:tc>
        <w:tc>
          <w:tcPr>
            <w:tcW w:type="dxa" w:w="4968"/>
            <w:shd w:fill="EAF2F8"/>
            <w:vAlign w:val="center"/>
          </w:tcPr>
          <w:p>
            <w:r>
              <w:rPr>
                <w:b/>
              </w:rPr>
              <w:t>Requirement</w:t>
            </w:r>
          </w:p>
        </w:tc>
      </w:tr>
      <w:tr>
        <w:tc>
          <w:tcPr>
            <w:tcW w:type="dxa" w:w="4968"/>
            <w:vAlign w:val="top"/>
          </w:tcPr>
          <w:p>
            <w:r>
              <w:t>API keys</w:t>
            </w:r>
          </w:p>
        </w:tc>
        <w:tc>
          <w:tcPr>
            <w:tcW w:type="dxa" w:w="4968"/>
            <w:vAlign w:val="top"/>
          </w:tcPr>
          <w:p>
            <w:r>
              <w:t>Use secure secret storage</w:t>
            </w:r>
          </w:p>
        </w:tc>
      </w:tr>
      <w:tr>
        <w:tc>
          <w:tcPr>
            <w:tcW w:type="dxa" w:w="4968"/>
            <w:vAlign w:val="top"/>
          </w:tcPr>
          <w:p>
            <w:r>
              <w:t>Database credentials</w:t>
            </w:r>
          </w:p>
        </w:tc>
        <w:tc>
          <w:tcPr>
            <w:tcW w:type="dxa" w:w="4968"/>
            <w:vAlign w:val="top"/>
          </w:tcPr>
          <w:p>
            <w:r>
              <w:t>Never place in prompts or source-controlled configuration</w:t>
            </w:r>
          </w:p>
        </w:tc>
      </w:tr>
      <w:tr>
        <w:tc>
          <w:tcPr>
            <w:tcW w:type="dxa" w:w="4968"/>
            <w:vAlign w:val="top"/>
          </w:tcPr>
          <w:p>
            <w:r>
              <w:t>Service credentials</w:t>
            </w:r>
          </w:p>
        </w:tc>
        <w:tc>
          <w:tcPr>
            <w:tcW w:type="dxa" w:w="4968"/>
            <w:vAlign w:val="top"/>
          </w:tcPr>
          <w:p>
            <w:r>
              <w:t>Use scoped identities</w:t>
            </w:r>
          </w:p>
        </w:tc>
      </w:tr>
      <w:tr>
        <w:tc>
          <w:tcPr>
            <w:tcW w:type="dxa" w:w="4968"/>
            <w:vAlign w:val="top"/>
          </w:tcPr>
          <w:p>
            <w:r>
              <w:t>Tokens</w:t>
            </w:r>
          </w:p>
        </w:tc>
        <w:tc>
          <w:tcPr>
            <w:tcW w:type="dxa" w:w="4968"/>
            <w:vAlign w:val="top"/>
          </w:tcPr>
          <w:p>
            <w:r>
              <w:t>Short-lived where practical</w:t>
            </w:r>
          </w:p>
        </w:tc>
      </w:tr>
      <w:tr>
        <w:tc>
          <w:tcPr>
            <w:tcW w:type="dxa" w:w="4968"/>
            <w:vAlign w:val="top"/>
          </w:tcPr>
          <w:p>
            <w:r>
              <w:t>Logs</w:t>
            </w:r>
          </w:p>
        </w:tc>
        <w:tc>
          <w:tcPr>
            <w:tcW w:type="dxa" w:w="4968"/>
            <w:vAlign w:val="top"/>
          </w:tcPr>
          <w:p>
            <w:r>
              <w:t>Never log raw secrets</w:t>
            </w:r>
          </w:p>
        </w:tc>
      </w:tr>
      <w:tr>
        <w:tc>
          <w:tcPr>
            <w:tcW w:type="dxa" w:w="4968"/>
            <w:vAlign w:val="top"/>
          </w:tcPr>
          <w:p>
            <w:r>
              <w:t>Rotation</w:t>
            </w:r>
          </w:p>
        </w:tc>
        <w:tc>
          <w:tcPr>
            <w:tcW w:type="dxa" w:w="4968"/>
            <w:vAlign w:val="top"/>
          </w:tcPr>
          <w:p>
            <w:r>
              <w:t>Support credential rotation without application redesign</w:t>
            </w:r>
          </w:p>
        </w:tc>
      </w:tr>
    </w:tbl>
    <w:p>
      <w:pPr>
        <w:pStyle w:val="Heading1"/>
      </w:pPr>
      <w:r>
        <w:t>13. Tool Security</w:t>
      </w:r>
    </w:p>
    <w:p>
      <w:r>
        <w:t>Every tool should have a security contract.</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Control</w:t>
            </w:r>
          </w:p>
        </w:tc>
        <w:tc>
          <w:tcPr>
            <w:tcW w:type="dxa" w:w="4968"/>
            <w:shd w:fill="EAF2F8"/>
            <w:vAlign w:val="center"/>
          </w:tcPr>
          <w:p>
            <w:r>
              <w:rPr>
                <w:b/>
              </w:rPr>
              <w:t>Question</w:t>
            </w:r>
          </w:p>
        </w:tc>
      </w:tr>
      <w:tr>
        <w:tc>
          <w:tcPr>
            <w:tcW w:type="dxa" w:w="4968"/>
            <w:vAlign w:val="top"/>
          </w:tcPr>
          <w:p>
            <w:r>
              <w:t>Identity</w:t>
            </w:r>
          </w:p>
        </w:tc>
        <w:tc>
          <w:tcPr>
            <w:tcW w:type="dxa" w:w="4968"/>
            <w:vAlign w:val="top"/>
          </w:tcPr>
          <w:p>
            <w:r>
              <w:t>Who is invoking it?</w:t>
            </w:r>
          </w:p>
        </w:tc>
      </w:tr>
      <w:tr>
        <w:tc>
          <w:tcPr>
            <w:tcW w:type="dxa" w:w="4968"/>
            <w:vAlign w:val="top"/>
          </w:tcPr>
          <w:p>
            <w:r>
              <w:t>Scope</w:t>
            </w:r>
          </w:p>
        </w:tc>
        <w:tc>
          <w:tcPr>
            <w:tcW w:type="dxa" w:w="4968"/>
            <w:vAlign w:val="top"/>
          </w:tcPr>
          <w:p>
            <w:r>
              <w:t>Which tenant/company?</w:t>
            </w:r>
          </w:p>
        </w:tc>
      </w:tr>
      <w:tr>
        <w:tc>
          <w:tcPr>
            <w:tcW w:type="dxa" w:w="4968"/>
            <w:vAlign w:val="top"/>
          </w:tcPr>
          <w:p>
            <w:r>
              <w:t>Permission</w:t>
            </w:r>
          </w:p>
        </w:tc>
        <w:tc>
          <w:tcPr>
            <w:tcW w:type="dxa" w:w="4968"/>
            <w:vAlign w:val="top"/>
          </w:tcPr>
          <w:p>
            <w:r>
              <w:t>Is this user authorised?</w:t>
            </w:r>
          </w:p>
        </w:tc>
      </w:tr>
      <w:tr>
        <w:tc>
          <w:tcPr>
            <w:tcW w:type="dxa" w:w="4968"/>
            <w:vAlign w:val="top"/>
          </w:tcPr>
          <w:p>
            <w:r>
              <w:t>Input</w:t>
            </w:r>
          </w:p>
        </w:tc>
        <w:tc>
          <w:tcPr>
            <w:tcW w:type="dxa" w:w="4968"/>
            <w:vAlign w:val="top"/>
          </w:tcPr>
          <w:p>
            <w:r>
              <w:t>Are arguments validated?</w:t>
            </w:r>
          </w:p>
        </w:tc>
      </w:tr>
      <w:tr>
        <w:tc>
          <w:tcPr>
            <w:tcW w:type="dxa" w:w="4968"/>
            <w:vAlign w:val="top"/>
          </w:tcPr>
          <w:p>
            <w:r>
              <w:t>State</w:t>
            </w:r>
          </w:p>
        </w:tc>
        <w:tc>
          <w:tcPr>
            <w:tcW w:type="dxa" w:w="4968"/>
            <w:vAlign w:val="top"/>
          </w:tcPr>
          <w:p>
            <w:r>
              <w:t>Has current state been checked?</w:t>
            </w:r>
          </w:p>
        </w:tc>
      </w:tr>
      <w:tr>
        <w:tc>
          <w:tcPr>
            <w:tcW w:type="dxa" w:w="4968"/>
            <w:vAlign w:val="top"/>
          </w:tcPr>
          <w:p>
            <w:r>
              <w:t>Side effect</w:t>
            </w:r>
          </w:p>
        </w:tc>
        <w:tc>
          <w:tcPr>
            <w:tcW w:type="dxa" w:w="4968"/>
            <w:vAlign w:val="top"/>
          </w:tcPr>
          <w:p>
            <w:r>
              <w:t>Does it change anything?</w:t>
            </w:r>
          </w:p>
        </w:tc>
      </w:tr>
      <w:tr>
        <w:tc>
          <w:tcPr>
            <w:tcW w:type="dxa" w:w="4968"/>
            <w:vAlign w:val="top"/>
          </w:tcPr>
          <w:p>
            <w:r>
              <w:t>Confirmation</w:t>
            </w:r>
          </w:p>
        </w:tc>
        <w:tc>
          <w:tcPr>
            <w:tcW w:type="dxa" w:w="4968"/>
            <w:vAlign w:val="top"/>
          </w:tcPr>
          <w:p>
            <w:r>
              <w:t>Is confirmation required?</w:t>
            </w:r>
          </w:p>
        </w:tc>
      </w:tr>
      <w:tr>
        <w:tc>
          <w:tcPr>
            <w:tcW w:type="dxa" w:w="4968"/>
            <w:vAlign w:val="top"/>
          </w:tcPr>
          <w:p>
            <w:r>
              <w:t>Audit</w:t>
            </w:r>
          </w:p>
        </w:tc>
        <w:tc>
          <w:tcPr>
            <w:tcW w:type="dxa" w:w="4968"/>
            <w:vAlign w:val="top"/>
          </w:tcPr>
          <w:p>
            <w:r>
              <w:t>Should the operation be recorded?</w:t>
            </w:r>
          </w:p>
        </w:tc>
      </w:tr>
    </w:tbl>
    <w:p>
      <w:pPr>
        <w:pStyle w:val="Heading1"/>
      </w:pPr>
      <w:r>
        <w:t>14. High-Risk Actions</w:t>
      </w:r>
    </w:p>
    <w:p>
      <w:r>
        <w:t>Actions involving money, clinical workflow, sensitive records, irreversible changes or administrative control require stronger controls.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Action type</w:t>
            </w:r>
          </w:p>
        </w:tc>
        <w:tc>
          <w:tcPr>
            <w:tcW w:type="dxa" w:w="4968"/>
            <w:shd w:fill="EAF2F8"/>
            <w:vAlign w:val="center"/>
          </w:tcPr>
          <w:p>
            <w:r>
              <w:rPr>
                <w:b/>
              </w:rPr>
              <w:t>Suggested control</w:t>
            </w:r>
          </w:p>
        </w:tc>
      </w:tr>
      <w:tr>
        <w:tc>
          <w:tcPr>
            <w:tcW w:type="dxa" w:w="4968"/>
            <w:vAlign w:val="top"/>
          </w:tcPr>
          <w:p>
            <w:r>
              <w:t>Financial posting</w:t>
            </w:r>
          </w:p>
        </w:tc>
        <w:tc>
          <w:tcPr>
            <w:tcW w:type="dxa" w:w="4968"/>
            <w:vAlign w:val="top"/>
          </w:tcPr>
          <w:p>
            <w:r>
              <w:t>Permission + current-state check + workflow confirmation</w:t>
            </w:r>
          </w:p>
        </w:tc>
      </w:tr>
      <w:tr>
        <w:tc>
          <w:tcPr>
            <w:tcW w:type="dxa" w:w="4968"/>
            <w:vAlign w:val="top"/>
          </w:tcPr>
          <w:p>
            <w:r>
              <w:t>Clinical workflow change</w:t>
            </w:r>
          </w:p>
        </w:tc>
        <w:tc>
          <w:tcPr>
            <w:tcW w:type="dxa" w:w="4968"/>
            <w:vAlign w:val="top"/>
          </w:tcPr>
          <w:p>
            <w:r>
              <w:t>Authorised role + configured workflow</w:t>
            </w:r>
          </w:p>
        </w:tc>
      </w:tr>
      <w:tr>
        <w:tc>
          <w:tcPr>
            <w:tcW w:type="dxa" w:w="4968"/>
            <w:vAlign w:val="top"/>
          </w:tcPr>
          <w:p>
            <w:r>
              <w:t>Inventory adjustment</w:t>
            </w:r>
          </w:p>
        </w:tc>
        <w:tc>
          <w:tcPr>
            <w:tcW w:type="dxa" w:w="4968"/>
            <w:vAlign w:val="top"/>
          </w:tcPr>
          <w:p>
            <w:r>
              <w:t>Current-state check + reason/audit</w:t>
            </w:r>
          </w:p>
        </w:tc>
      </w:tr>
      <w:tr>
        <w:tc>
          <w:tcPr>
            <w:tcW w:type="dxa" w:w="4968"/>
            <w:vAlign w:val="top"/>
          </w:tcPr>
          <w:p>
            <w:r>
              <w:t>User/role administration</w:t>
            </w:r>
          </w:p>
        </w:tc>
        <w:tc>
          <w:tcPr>
            <w:tcW w:type="dxa" w:w="4968"/>
            <w:vAlign w:val="top"/>
          </w:tcPr>
          <w:p>
            <w:r>
              <w:t>Restricted admin role + audit</w:t>
            </w:r>
          </w:p>
        </w:tc>
      </w:tr>
      <w:tr>
        <w:tc>
          <w:tcPr>
            <w:tcW w:type="dxa" w:w="4968"/>
            <w:vAlign w:val="top"/>
          </w:tcPr>
          <w:p>
            <w:r>
              <w:t>Company/configuration change</w:t>
            </w:r>
          </w:p>
        </w:tc>
        <w:tc>
          <w:tcPr>
            <w:tcW w:type="dxa" w:w="4968"/>
            <w:vAlign w:val="top"/>
          </w:tcPr>
          <w:p>
            <w:r>
              <w:t>Restricted admin + approval where required</w:t>
            </w:r>
          </w:p>
        </w:tc>
      </w:tr>
      <w:tr>
        <w:tc>
          <w:tcPr>
            <w:tcW w:type="dxa" w:w="4968"/>
            <w:vAlign w:val="top"/>
          </w:tcPr>
          <w:p>
            <w:r>
              <w:t>Sensitive data export</w:t>
            </w:r>
          </w:p>
        </w:tc>
        <w:tc>
          <w:tcPr>
            <w:tcW w:type="dxa" w:w="4968"/>
            <w:vAlign w:val="top"/>
          </w:tcPr>
          <w:p>
            <w:r>
              <w:t>Explicit permission + audit</w:t>
            </w:r>
          </w:p>
        </w:tc>
      </w:tr>
    </w:tbl>
    <w:p>
      <w:pPr>
        <w:pStyle w:val="Heading1"/>
      </w:pPr>
      <w:r>
        <w:t>15. Human Approval Pattern</w:t>
      </w:r>
    </w:p>
    <w:p>
      <w:pPr>
        <w:pStyle w:val="IntenseQuote"/>
      </w:pPr>
      <w:r>
        <w:t>Prepare → Validate → Request approval → Execute → Confirm → Audit</w:t>
      </w:r>
    </w:p>
    <w:p>
      <w:r>
        <w:t>Where a client requires human approval, Synbot should prepare the action and relevant evidence without representing the pending action as completed.</w:t>
      </w:r>
    </w:p>
    <w:p>
      <w:pPr>
        <w:pStyle w:val="Heading1"/>
      </w:pPr>
      <w:r>
        <w:t>16. Audit Architecture</w:t>
      </w:r>
    </w:p>
    <w:p>
      <w:r>
        <w:t>Audit records should support reconstruction of important events.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Event</w:t>
            </w:r>
          </w:p>
        </w:tc>
        <w:tc>
          <w:tcPr>
            <w:tcW w:type="dxa" w:w="4968"/>
            <w:shd w:fill="EAF2F8"/>
            <w:vAlign w:val="center"/>
          </w:tcPr>
          <w:p>
            <w:r>
              <w:rPr>
                <w:b/>
              </w:rPr>
              <w:t>Useful metadata</w:t>
            </w:r>
          </w:p>
        </w:tc>
      </w:tr>
      <w:tr>
        <w:tc>
          <w:tcPr>
            <w:tcW w:type="dxa" w:w="4968"/>
            <w:vAlign w:val="top"/>
          </w:tcPr>
          <w:p>
            <w:r>
              <w:t>Authentication</w:t>
            </w:r>
          </w:p>
        </w:tc>
        <w:tc>
          <w:tcPr>
            <w:tcW w:type="dxa" w:w="4968"/>
            <w:vAlign w:val="top"/>
          </w:tcPr>
          <w:p>
            <w:r>
              <w:t>User, timestamp, result</w:t>
            </w:r>
          </w:p>
        </w:tc>
      </w:tr>
      <w:tr>
        <w:tc>
          <w:tcPr>
            <w:tcW w:type="dxa" w:w="4968"/>
            <w:vAlign w:val="top"/>
          </w:tcPr>
          <w:p>
            <w:r>
              <w:t>Data access</w:t>
            </w:r>
          </w:p>
        </w:tc>
        <w:tc>
          <w:tcPr>
            <w:tcW w:type="dxa" w:w="4968"/>
            <w:vAlign w:val="top"/>
          </w:tcPr>
          <w:p>
            <w:r>
              <w:t>User, tenant/company, resource class</w:t>
            </w:r>
          </w:p>
        </w:tc>
      </w:tr>
      <w:tr>
        <w:tc>
          <w:tcPr>
            <w:tcW w:type="dxa" w:w="4968"/>
            <w:vAlign w:val="top"/>
          </w:tcPr>
          <w:p>
            <w:r>
              <w:t>Tool execution</w:t>
            </w:r>
          </w:p>
        </w:tc>
        <w:tc>
          <w:tcPr>
            <w:tcW w:type="dxa" w:w="4968"/>
            <w:vAlign w:val="top"/>
          </w:tcPr>
          <w:p>
            <w:r>
              <w:t>Tool, actor, target, result</w:t>
            </w:r>
          </w:p>
        </w:tc>
      </w:tr>
      <w:tr>
        <w:tc>
          <w:tcPr>
            <w:tcW w:type="dxa" w:w="4968"/>
            <w:vAlign w:val="top"/>
          </w:tcPr>
          <w:p>
            <w:r>
              <w:t>Workflow</w:t>
            </w:r>
          </w:p>
        </w:tc>
        <w:tc>
          <w:tcPr>
            <w:tcW w:type="dxa" w:w="4968"/>
            <w:vAlign w:val="top"/>
          </w:tcPr>
          <w:p>
            <w:r>
              <w:t>Workflow, step, status</w:t>
            </w:r>
          </w:p>
        </w:tc>
      </w:tr>
      <w:tr>
        <w:tc>
          <w:tcPr>
            <w:tcW w:type="dxa" w:w="4968"/>
            <w:vAlign w:val="top"/>
          </w:tcPr>
          <w:p>
            <w:r>
              <w:t>Configuration</w:t>
            </w:r>
          </w:p>
        </w:tc>
        <w:tc>
          <w:tcPr>
            <w:tcW w:type="dxa" w:w="4968"/>
            <w:vAlign w:val="top"/>
          </w:tcPr>
          <w:p>
            <w:r>
              <w:t>Version, actor, change</w:t>
            </w:r>
          </w:p>
        </w:tc>
      </w:tr>
      <w:tr>
        <w:tc>
          <w:tcPr>
            <w:tcW w:type="dxa" w:w="4968"/>
            <w:vAlign w:val="top"/>
          </w:tcPr>
          <w:p>
            <w:r>
              <w:t>Permission decision</w:t>
            </w:r>
          </w:p>
        </w:tc>
        <w:tc>
          <w:tcPr>
            <w:tcW w:type="dxa" w:w="4968"/>
            <w:vAlign w:val="top"/>
          </w:tcPr>
          <w:p>
            <w:r>
              <w:t>Scope, permission, outcome</w:t>
            </w:r>
          </w:p>
        </w:tc>
      </w:tr>
      <w:tr>
        <w:tc>
          <w:tcPr>
            <w:tcW w:type="dxa" w:w="4968"/>
            <w:vAlign w:val="top"/>
          </w:tcPr>
          <w:p>
            <w:r>
              <w:t>Escalation</w:t>
            </w:r>
          </w:p>
        </w:tc>
        <w:tc>
          <w:tcPr>
            <w:tcW w:type="dxa" w:w="4968"/>
            <w:vAlign w:val="top"/>
          </w:tcPr>
          <w:p>
            <w:r>
              <w:t>Reason, priority, destination</w:t>
            </w:r>
          </w:p>
        </w:tc>
      </w:tr>
      <w:tr>
        <w:tc>
          <w:tcPr>
            <w:tcW w:type="dxa" w:w="4968"/>
            <w:vAlign w:val="top"/>
          </w:tcPr>
          <w:p>
            <w:r>
              <w:t>Security event</w:t>
            </w:r>
          </w:p>
        </w:tc>
        <w:tc>
          <w:tcPr>
            <w:tcW w:type="dxa" w:w="4968"/>
            <w:vAlign w:val="top"/>
          </w:tcPr>
          <w:p>
            <w:r>
              <w:t>Type, severity, response</w:t>
            </w:r>
          </w:p>
        </w:tc>
      </w:tr>
    </w:tbl>
    <w:p>
      <w:pPr>
        <w:pStyle w:val="Heading1"/>
      </w:pPr>
      <w:r>
        <w:t>17. Audit vs Application Logging</w:t>
      </w:r>
    </w:p>
    <w:p>
      <w:r>
        <w:t>Not every debug log should become an audit record. Audit data should be intentional, controlled and retained according to client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Audit</w:t>
            </w:r>
          </w:p>
        </w:tc>
        <w:tc>
          <w:tcPr>
            <w:tcW w:type="dxa" w:w="4968"/>
            <w:shd w:fill="EAF2F8"/>
            <w:vAlign w:val="center"/>
          </w:tcPr>
          <w:p>
            <w:r>
              <w:rPr>
                <w:b/>
              </w:rPr>
              <w:t>Operational log</w:t>
            </w:r>
          </w:p>
        </w:tc>
      </w:tr>
      <w:tr>
        <w:tc>
          <w:tcPr>
            <w:tcW w:type="dxa" w:w="4968"/>
            <w:vAlign w:val="top"/>
          </w:tcPr>
          <w:p>
            <w:r>
              <w:t>Security/business significance</w:t>
            </w:r>
          </w:p>
        </w:tc>
        <w:tc>
          <w:tcPr>
            <w:tcW w:type="dxa" w:w="4968"/>
            <w:vAlign w:val="top"/>
          </w:tcPr>
          <w:p>
            <w:r>
              <w:t>Diagnostic/engineering significance</w:t>
            </w:r>
          </w:p>
        </w:tc>
      </w:tr>
      <w:tr>
        <w:tc>
          <w:tcPr>
            <w:tcW w:type="dxa" w:w="4968"/>
            <w:vAlign w:val="top"/>
          </w:tcPr>
          <w:p>
            <w:r>
              <w:t>Controlled retention</w:t>
            </w:r>
          </w:p>
        </w:tc>
        <w:tc>
          <w:tcPr>
            <w:tcW w:type="dxa" w:w="4968"/>
            <w:vAlign w:val="top"/>
          </w:tcPr>
          <w:p>
            <w:r>
              <w:t>Usually shorter retention</w:t>
            </w:r>
          </w:p>
        </w:tc>
      </w:tr>
      <w:tr>
        <w:tc>
          <w:tcPr>
            <w:tcW w:type="dxa" w:w="4968"/>
            <w:vAlign w:val="top"/>
          </w:tcPr>
          <w:p>
            <w:r>
              <w:t>Structured and reviewable</w:t>
            </w:r>
          </w:p>
        </w:tc>
        <w:tc>
          <w:tcPr>
            <w:tcW w:type="dxa" w:w="4968"/>
            <w:vAlign w:val="top"/>
          </w:tcPr>
          <w:p>
            <w:r>
              <w:t>May be verbose</w:t>
            </w:r>
          </w:p>
        </w:tc>
      </w:tr>
      <w:tr>
        <w:tc>
          <w:tcPr>
            <w:tcW w:type="dxa" w:w="4968"/>
            <w:vAlign w:val="top"/>
          </w:tcPr>
          <w:p>
            <w:r>
              <w:t>Access restricted</w:t>
            </w:r>
          </w:p>
        </w:tc>
        <w:tc>
          <w:tcPr>
            <w:tcW w:type="dxa" w:w="4968"/>
            <w:vAlign w:val="top"/>
          </w:tcPr>
          <w:p>
            <w:r>
              <w:t>Engineering access</w:t>
            </w:r>
          </w:p>
        </w:tc>
      </w:tr>
      <w:tr>
        <w:tc>
          <w:tcPr>
            <w:tcW w:type="dxa" w:w="4968"/>
            <w:vAlign w:val="top"/>
          </w:tcPr>
          <w:p>
            <w:r>
              <w:t>Examples: permission/action/config change</w:t>
            </w:r>
          </w:p>
        </w:tc>
        <w:tc>
          <w:tcPr>
            <w:tcW w:type="dxa" w:w="4968"/>
            <w:vAlign w:val="top"/>
          </w:tcPr>
          <w:p>
            <w:r>
              <w:t>Examples: latency/debug stack trace</w:t>
            </w:r>
          </w:p>
        </w:tc>
      </w:tr>
    </w:tbl>
    <w:p>
      <w:pPr>
        <w:pStyle w:val="Heading1"/>
      </w:pPr>
      <w:r>
        <w:t>18. Configuration Governance</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Artifact</w:t>
            </w:r>
          </w:p>
        </w:tc>
        <w:tc>
          <w:tcPr>
            <w:tcW w:type="dxa" w:w="4968"/>
            <w:shd w:fill="EAF2F8"/>
            <w:vAlign w:val="center"/>
          </w:tcPr>
          <w:p>
            <w:r>
              <w:rPr>
                <w:b/>
              </w:rPr>
              <w:t>Governance control</w:t>
            </w:r>
          </w:p>
        </w:tc>
      </w:tr>
      <w:tr>
        <w:tc>
          <w:tcPr>
            <w:tcW w:type="dxa" w:w="4968"/>
            <w:vAlign w:val="top"/>
          </w:tcPr>
          <w:p>
            <w:r>
              <w:t>Core prompt</w:t>
            </w:r>
          </w:p>
        </w:tc>
        <w:tc>
          <w:tcPr>
            <w:tcW w:type="dxa" w:w="4968"/>
            <w:vAlign w:val="top"/>
          </w:tcPr>
          <w:p>
            <w:r>
              <w:t>Version + review + regression</w:t>
            </w:r>
          </w:p>
        </w:tc>
      </w:tr>
      <w:tr>
        <w:tc>
          <w:tcPr>
            <w:tcW w:type="dxa" w:w="4968"/>
            <w:vAlign w:val="top"/>
          </w:tcPr>
          <w:p>
            <w:r>
              <w:t>Domain pack</w:t>
            </w:r>
          </w:p>
        </w:tc>
        <w:tc>
          <w:tcPr>
            <w:tcW w:type="dxa" w:w="4968"/>
            <w:vAlign w:val="top"/>
          </w:tcPr>
          <w:p>
            <w:r>
              <w:t>Owner + version</w:t>
            </w:r>
          </w:p>
        </w:tc>
      </w:tr>
      <w:tr>
        <w:tc>
          <w:tcPr>
            <w:tcW w:type="dxa" w:w="4968"/>
            <w:vAlign w:val="top"/>
          </w:tcPr>
          <w:p>
            <w:r>
              <w:t>Client pack</w:t>
            </w:r>
          </w:p>
        </w:tc>
        <w:tc>
          <w:tcPr>
            <w:tcW w:type="dxa" w:w="4968"/>
            <w:vAlign w:val="top"/>
          </w:tcPr>
          <w:p>
            <w:r>
              <w:t>Client owner + version</w:t>
            </w:r>
          </w:p>
        </w:tc>
      </w:tr>
      <w:tr>
        <w:tc>
          <w:tcPr>
            <w:tcW w:type="dxa" w:w="4968"/>
            <w:vAlign w:val="top"/>
          </w:tcPr>
          <w:p>
            <w:r>
              <w:t>Company pack</w:t>
            </w:r>
          </w:p>
        </w:tc>
        <w:tc>
          <w:tcPr>
            <w:tcW w:type="dxa" w:w="4968"/>
            <w:vAlign w:val="top"/>
          </w:tcPr>
          <w:p>
            <w:r>
              <w:t>Company owner + version</w:t>
            </w:r>
          </w:p>
        </w:tc>
      </w:tr>
      <w:tr>
        <w:tc>
          <w:tcPr>
            <w:tcW w:type="dxa" w:w="4968"/>
            <w:vAlign w:val="top"/>
          </w:tcPr>
          <w:p>
            <w:r>
              <w:t>Tool contract</w:t>
            </w:r>
          </w:p>
        </w:tc>
        <w:tc>
          <w:tcPr>
            <w:tcW w:type="dxa" w:w="4968"/>
            <w:vAlign w:val="top"/>
          </w:tcPr>
          <w:p>
            <w:r>
              <w:t>Technical owner + tests</w:t>
            </w:r>
          </w:p>
        </w:tc>
      </w:tr>
      <w:tr>
        <w:tc>
          <w:tcPr>
            <w:tcW w:type="dxa" w:w="4968"/>
            <w:vAlign w:val="top"/>
          </w:tcPr>
          <w:p>
            <w:r>
              <w:t>Source registry</w:t>
            </w:r>
          </w:p>
        </w:tc>
        <w:tc>
          <w:tcPr>
            <w:tcW w:type="dxa" w:w="4968"/>
            <w:vAlign w:val="top"/>
          </w:tcPr>
          <w:p>
            <w:r>
              <w:t>Data owner + authority review</w:t>
            </w:r>
          </w:p>
        </w:tc>
      </w:tr>
      <w:tr>
        <w:tc>
          <w:tcPr>
            <w:tcW w:type="dxa" w:w="4968"/>
            <w:vAlign w:val="top"/>
          </w:tcPr>
          <w:p>
            <w:r>
              <w:t>Knowledge collection</w:t>
            </w:r>
          </w:p>
        </w:tc>
        <w:tc>
          <w:tcPr>
            <w:tcW w:type="dxa" w:w="4968"/>
            <w:vAlign w:val="top"/>
          </w:tcPr>
          <w:p>
            <w:r>
              <w:t>Document owner + version/review date</w:t>
            </w:r>
          </w:p>
        </w:tc>
      </w:tr>
      <w:tr>
        <w:tc>
          <w:tcPr>
            <w:tcW w:type="dxa" w:w="4968"/>
            <w:vAlign w:val="top"/>
          </w:tcPr>
          <w:p>
            <w:r>
              <w:t>Evaluation pack</w:t>
            </w:r>
          </w:p>
        </w:tc>
        <w:tc>
          <w:tcPr>
            <w:tcW w:type="dxa" w:w="4968"/>
            <w:vAlign w:val="top"/>
          </w:tcPr>
          <w:p>
            <w:r>
              <w:t>Quality owner + regression history</w:t>
            </w:r>
          </w:p>
        </w:tc>
      </w:tr>
    </w:tbl>
    <w:p>
      <w:pPr>
        <w:pStyle w:val="Heading1"/>
      </w:pPr>
      <w:r>
        <w:t>19. Change Management</w:t>
      </w:r>
    </w:p>
    <w:p>
      <w:pPr>
        <w:pStyle w:val="ListNumber"/>
      </w:pPr>
      <w:r>
        <w:t>Identify proposed change.</w:t>
      </w:r>
    </w:p>
    <w:p>
      <w:pPr>
        <w:pStyle w:val="ListNumber"/>
      </w:pPr>
      <w:r>
        <w:t>Classify risk and affected clients/domains.</w:t>
      </w:r>
    </w:p>
    <w:p>
      <w:pPr>
        <w:pStyle w:val="ListNumber"/>
      </w:pPr>
      <w:r>
        <w:t>Update versioned artifact.</w:t>
      </w:r>
    </w:p>
    <w:p>
      <w:pPr>
        <w:pStyle w:val="ListNumber"/>
      </w:pPr>
      <w:r>
        <w:t>Run targeted tests.</w:t>
      </w:r>
    </w:p>
    <w:p>
      <w:pPr>
        <w:pStyle w:val="ListNumber"/>
      </w:pPr>
      <w:r>
        <w:t>Run security/permission tests where relevant.</w:t>
      </w:r>
    </w:p>
    <w:p>
      <w:pPr>
        <w:pStyle w:val="ListNumber"/>
      </w:pPr>
      <w:r>
        <w:t>Run regression tests.</w:t>
      </w:r>
    </w:p>
    <w:p>
      <w:pPr>
        <w:pStyle w:val="ListNumber"/>
      </w:pPr>
      <w:r>
        <w:t>Review and approve according to change level.</w:t>
      </w:r>
    </w:p>
    <w:p>
      <w:pPr>
        <w:pStyle w:val="ListNumber"/>
      </w:pPr>
      <w:r>
        <w:t>Deploy to staging.</w:t>
      </w:r>
    </w:p>
    <w:p>
      <w:pPr>
        <w:pStyle w:val="ListNumber"/>
      </w:pPr>
      <w:r>
        <w:t>Validate.</w:t>
      </w:r>
    </w:p>
    <w:p>
      <w:pPr>
        <w:pStyle w:val="ListNumber"/>
      </w:pPr>
      <w:r>
        <w:t>Promote exact tested version.</w:t>
      </w:r>
    </w:p>
    <w:p>
      <w:pPr>
        <w:pStyle w:val="ListNumber"/>
      </w:pPr>
      <w:r>
        <w:t>Monitor and retain rollback option.</w:t>
      </w:r>
    </w:p>
    <w:p>
      <w:pPr>
        <w:pStyle w:val="Heading1"/>
      </w:pPr>
      <w:r>
        <w:t>20. Change Risk Levels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vAlign w:val="center"/>
          </w:tcPr>
          <w:p>
            <w:r>
              <w:rPr>
                <w:b/>
              </w:rPr>
              <w:t>Level</w:t>
            </w:r>
          </w:p>
        </w:tc>
        <w:tc>
          <w:tcPr>
            <w:tcW w:type="dxa" w:w="3312"/>
            <w:shd w:fill="EAF2F8"/>
            <w:vAlign w:val="center"/>
          </w:tcPr>
          <w:p>
            <w:r>
              <w:rPr>
                <w:b/>
              </w:rPr>
              <w:t>Examples</w:t>
            </w:r>
          </w:p>
        </w:tc>
        <w:tc>
          <w:tcPr>
            <w:tcW w:type="dxa" w:w="3312"/>
            <w:shd w:fill="EAF2F8"/>
            <w:vAlign w:val="center"/>
          </w:tcPr>
          <w:p>
            <w:r>
              <w:rPr>
                <w:b/>
              </w:rPr>
              <w:t>Control</w:t>
            </w:r>
          </w:p>
        </w:tc>
      </w:tr>
      <w:tr>
        <w:tc>
          <w:tcPr>
            <w:tcW w:type="dxa" w:w="3312"/>
            <w:vAlign w:val="top"/>
          </w:tcPr>
          <w:p>
            <w:r>
              <w:t>Low</w:t>
            </w:r>
          </w:p>
        </w:tc>
        <w:tc>
          <w:tcPr>
            <w:tcW w:type="dxa" w:w="3312"/>
            <w:vAlign w:val="top"/>
          </w:tcPr>
          <w:p>
            <w:r>
              <w:t>Terminology/response wording</w:t>
            </w:r>
          </w:p>
        </w:tc>
        <w:tc>
          <w:tcPr>
            <w:tcW w:type="dxa" w:w="3312"/>
            <w:vAlign w:val="top"/>
          </w:tcPr>
          <w:p>
            <w:r>
              <w:t>Regression test</w:t>
            </w:r>
          </w:p>
        </w:tc>
      </w:tr>
      <w:tr>
        <w:tc>
          <w:tcPr>
            <w:tcW w:type="dxa" w:w="3312"/>
            <w:vAlign w:val="top"/>
          </w:tcPr>
          <w:p>
            <w:r>
              <w:t>Medium</w:t>
            </w:r>
          </w:p>
        </w:tc>
        <w:tc>
          <w:tcPr>
            <w:tcW w:type="dxa" w:w="3312"/>
            <w:vAlign w:val="top"/>
          </w:tcPr>
          <w:p>
            <w:r>
              <w:t>Retrieval/configuration change</w:t>
            </w:r>
          </w:p>
        </w:tc>
        <w:tc>
          <w:tcPr>
            <w:tcW w:type="dxa" w:w="3312"/>
            <w:vAlign w:val="top"/>
          </w:tcPr>
          <w:p>
            <w:r>
              <w:t>Targeted + regression</w:t>
            </w:r>
          </w:p>
        </w:tc>
      </w:tr>
      <w:tr>
        <w:tc>
          <w:tcPr>
            <w:tcW w:type="dxa" w:w="3312"/>
            <w:vAlign w:val="top"/>
          </w:tcPr>
          <w:p>
            <w:r>
              <w:t>High</w:t>
            </w:r>
          </w:p>
        </w:tc>
        <w:tc>
          <w:tcPr>
            <w:tcW w:type="dxa" w:w="3312"/>
            <w:vAlign w:val="top"/>
          </w:tcPr>
          <w:p>
            <w:r>
              <w:t>Tool/write workflow change</w:t>
            </w:r>
          </w:p>
        </w:tc>
        <w:tc>
          <w:tcPr>
            <w:tcW w:type="dxa" w:w="3312"/>
            <w:vAlign w:val="top"/>
          </w:tcPr>
          <w:p>
            <w:r>
              <w:t>Security + integration + approval</w:t>
            </w:r>
          </w:p>
        </w:tc>
      </w:tr>
      <w:tr>
        <w:tc>
          <w:tcPr>
            <w:tcW w:type="dxa" w:w="3312"/>
            <w:vAlign w:val="top"/>
          </w:tcPr>
          <w:p>
            <w:r>
              <w:t>Critical</w:t>
            </w:r>
          </w:p>
        </w:tc>
        <w:tc>
          <w:tcPr>
            <w:tcW w:type="dxa" w:w="3312"/>
            <w:vAlign w:val="top"/>
          </w:tcPr>
          <w:p>
            <w:r>
              <w:t>Tenant boundary/auth/security change</w:t>
            </w:r>
          </w:p>
        </w:tc>
        <w:tc>
          <w:tcPr>
            <w:tcW w:type="dxa" w:w="3312"/>
            <w:vAlign w:val="top"/>
          </w:tcPr>
          <w:p>
            <w:r>
              <w:t>Formal security review + full validation</w:t>
            </w:r>
          </w:p>
        </w:tc>
      </w:tr>
    </w:tbl>
    <w:p>
      <w:pPr>
        <w:pStyle w:val="Heading1"/>
      </w:pPr>
      <w:r>
        <w:t>21. Prompt Injection &amp; Untrusted Content</w:t>
      </w:r>
    </w:p>
    <w:p>
      <w:r>
        <w:t>Retrieved documents, user messages and external content should be treated as untrusted input with respect to system authority. They may contain instructions that are irrelevant or conflicting.</w:t>
      </w:r>
    </w:p>
    <w:p>
      <w:pPr>
        <w:pStyle w:val="ListBullet"/>
      </w:pPr>
      <w:r>
        <w:t>Retrieved text is evidence, not system authority.</w:t>
      </w:r>
    </w:p>
    <w:p>
      <w:pPr>
        <w:pStyle w:val="ListBullet"/>
      </w:pPr>
      <w:r>
        <w:t>User instructions cannot override permissions.</w:t>
      </w:r>
    </w:p>
    <w:p>
      <w:pPr>
        <w:pStyle w:val="ListBullet"/>
      </w:pPr>
      <w:r>
        <w:t>External content cannot grant access.</w:t>
      </w:r>
    </w:p>
    <w:p>
      <w:pPr>
        <w:pStyle w:val="ListBullet"/>
      </w:pPr>
      <w:r>
        <w:t>Documents cannot redefine tool permissions.</w:t>
      </w:r>
    </w:p>
    <w:p>
      <w:pPr>
        <w:pStyle w:val="ListBullet"/>
      </w:pPr>
      <w:r>
        <w:t>Tool results should be treated as data according to their contract.</w:t>
      </w:r>
    </w:p>
    <w:p>
      <w:pPr>
        <w:pStyle w:val="ListBullet"/>
      </w:pPr>
      <w:r>
        <w:t>System/security rules remain higher priority.</w:t>
      </w:r>
    </w:p>
    <w:p>
      <w:pPr>
        <w:pStyle w:val="Heading1"/>
      </w:pPr>
      <w:r>
        <w:t>22. Security Failure Modes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Failure</w:t>
            </w:r>
          </w:p>
        </w:tc>
        <w:tc>
          <w:tcPr>
            <w:tcW w:type="dxa" w:w="4968"/>
            <w:shd w:fill="EAF2F8"/>
            <w:vAlign w:val="center"/>
          </w:tcPr>
          <w:p>
            <w:r>
              <w:rPr>
                <w:b/>
              </w:rPr>
              <w:t>Required response</w:t>
            </w:r>
          </w:p>
        </w:tc>
      </w:tr>
      <w:tr>
        <w:tc>
          <w:tcPr>
            <w:tcW w:type="dxa" w:w="4968"/>
            <w:vAlign w:val="top"/>
          </w:tcPr>
          <w:p>
            <w:r>
              <w:t>Unknown permission</w:t>
            </w:r>
          </w:p>
        </w:tc>
        <w:tc>
          <w:tcPr>
            <w:tcW w:type="dxa" w:w="4968"/>
            <w:vAlign w:val="top"/>
          </w:tcPr>
          <w:p>
            <w:r>
              <w:t>Deny/clarify</w:t>
            </w:r>
          </w:p>
        </w:tc>
      </w:tr>
      <w:tr>
        <w:tc>
          <w:tcPr>
            <w:tcW w:type="dxa" w:w="4968"/>
            <w:vAlign w:val="top"/>
          </w:tcPr>
          <w:p>
            <w:r>
              <w:t>Unknown company</w:t>
            </w:r>
          </w:p>
        </w:tc>
        <w:tc>
          <w:tcPr>
            <w:tcW w:type="dxa" w:w="4968"/>
            <w:vAlign w:val="top"/>
          </w:tcPr>
          <w:p>
            <w:r>
              <w:t>Clarify before material access/action</w:t>
            </w:r>
          </w:p>
        </w:tc>
      </w:tr>
      <w:tr>
        <w:tc>
          <w:tcPr>
            <w:tcW w:type="dxa" w:w="4968"/>
            <w:vAlign w:val="top"/>
          </w:tcPr>
          <w:p>
            <w:r>
              <w:t>Cross-tenant attempt</w:t>
            </w:r>
          </w:p>
        </w:tc>
        <w:tc>
          <w:tcPr>
            <w:tcW w:type="dxa" w:w="4968"/>
            <w:vAlign w:val="top"/>
          </w:tcPr>
          <w:p>
            <w:r>
              <w:t>Block and record appropriate security event</w:t>
            </w:r>
          </w:p>
        </w:tc>
      </w:tr>
      <w:tr>
        <w:tc>
          <w:tcPr>
            <w:tcW w:type="dxa" w:w="4968"/>
            <w:vAlign w:val="top"/>
          </w:tcPr>
          <w:p>
            <w:r>
              <w:t>Credential failure</w:t>
            </w:r>
          </w:p>
        </w:tc>
        <w:tc>
          <w:tcPr>
            <w:tcW w:type="dxa" w:w="4968"/>
            <w:vAlign w:val="top"/>
          </w:tcPr>
          <w:p>
            <w:r>
              <w:t>Stop operation; do not expose secret</w:t>
            </w:r>
          </w:p>
        </w:tc>
      </w:tr>
      <w:tr>
        <w:tc>
          <w:tcPr>
            <w:tcW w:type="dxa" w:w="4968"/>
            <w:vAlign w:val="top"/>
          </w:tcPr>
          <w:p>
            <w:r>
              <w:t>Tool permission failure</w:t>
            </w:r>
          </w:p>
        </w:tc>
        <w:tc>
          <w:tcPr>
            <w:tcW w:type="dxa" w:w="4968"/>
            <w:vAlign w:val="top"/>
          </w:tcPr>
          <w:p>
            <w:r>
              <w:t>Do not claim action succeeded</w:t>
            </w:r>
          </w:p>
        </w:tc>
      </w:tr>
      <w:tr>
        <w:tc>
          <w:tcPr>
            <w:tcW w:type="dxa" w:w="4968"/>
            <w:vAlign w:val="top"/>
          </w:tcPr>
          <w:p>
            <w:r>
              <w:t>Suspicious input</w:t>
            </w:r>
          </w:p>
        </w:tc>
        <w:tc>
          <w:tcPr>
            <w:tcW w:type="dxa" w:w="4968"/>
            <w:vAlign w:val="top"/>
          </w:tcPr>
          <w:p>
            <w:r>
              <w:t>Apply configured security controls</w:t>
            </w:r>
          </w:p>
        </w:tc>
      </w:tr>
      <w:tr>
        <w:tc>
          <w:tcPr>
            <w:tcW w:type="dxa" w:w="4968"/>
            <w:vAlign w:val="top"/>
          </w:tcPr>
          <w:p>
            <w:r>
              <w:t>Audit failure on critical action</w:t>
            </w:r>
          </w:p>
        </w:tc>
        <w:tc>
          <w:tcPr>
            <w:tcW w:type="dxa" w:w="4968"/>
            <w:vAlign w:val="top"/>
          </w:tcPr>
          <w:p>
            <w:r>
              <w:t>Follow configured fail-safe policy</w:t>
            </w:r>
          </w:p>
        </w:tc>
      </w:tr>
    </w:tbl>
    <w:p>
      <w:pPr>
        <w:pStyle w:val="Heading1"/>
      </w:pPr>
      <w:r>
        <w:t>23. Incident Response</w:t>
      </w:r>
    </w:p>
    <w:p>
      <w:r>
        <w:t>A Synbot deployment should have a defined response path for security or operational incidents.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Stage</w:t>
            </w:r>
          </w:p>
        </w:tc>
        <w:tc>
          <w:tcPr>
            <w:tcW w:type="dxa" w:w="4968"/>
            <w:shd w:fill="EAF2F8"/>
            <w:vAlign w:val="center"/>
          </w:tcPr>
          <w:p>
            <w:r>
              <w:rPr>
                <w:b/>
              </w:rPr>
              <w:t>Purpose</w:t>
            </w:r>
          </w:p>
        </w:tc>
      </w:tr>
      <w:tr>
        <w:tc>
          <w:tcPr>
            <w:tcW w:type="dxa" w:w="4968"/>
            <w:vAlign w:val="top"/>
          </w:tcPr>
          <w:p>
            <w:r>
              <w:t>Detect</w:t>
            </w:r>
          </w:p>
        </w:tc>
        <w:tc>
          <w:tcPr>
            <w:tcW w:type="dxa" w:w="4968"/>
            <w:vAlign w:val="top"/>
          </w:tcPr>
          <w:p>
            <w:r>
              <w:t>Identify abnormal event</w:t>
            </w:r>
          </w:p>
        </w:tc>
      </w:tr>
      <w:tr>
        <w:tc>
          <w:tcPr>
            <w:tcW w:type="dxa" w:w="4968"/>
            <w:vAlign w:val="top"/>
          </w:tcPr>
          <w:p>
            <w:r>
              <w:t>Contain</w:t>
            </w:r>
          </w:p>
        </w:tc>
        <w:tc>
          <w:tcPr>
            <w:tcW w:type="dxa" w:w="4968"/>
            <w:vAlign w:val="top"/>
          </w:tcPr>
          <w:p>
            <w:r>
              <w:t>Stop affected capability/access</w:t>
            </w:r>
          </w:p>
        </w:tc>
      </w:tr>
      <w:tr>
        <w:tc>
          <w:tcPr>
            <w:tcW w:type="dxa" w:w="4968"/>
            <w:vAlign w:val="top"/>
          </w:tcPr>
          <w:p>
            <w:r>
              <w:t>Investigate</w:t>
            </w:r>
          </w:p>
        </w:tc>
        <w:tc>
          <w:tcPr>
            <w:tcW w:type="dxa" w:w="4968"/>
            <w:vAlign w:val="top"/>
          </w:tcPr>
          <w:p>
            <w:r>
              <w:t>Review logs, audit and configuration</w:t>
            </w:r>
          </w:p>
        </w:tc>
      </w:tr>
      <w:tr>
        <w:tc>
          <w:tcPr>
            <w:tcW w:type="dxa" w:w="4968"/>
            <w:vAlign w:val="top"/>
          </w:tcPr>
          <w:p>
            <w:r>
              <w:t>Remediate</w:t>
            </w:r>
          </w:p>
        </w:tc>
        <w:tc>
          <w:tcPr>
            <w:tcW w:type="dxa" w:w="4968"/>
            <w:vAlign w:val="top"/>
          </w:tcPr>
          <w:p>
            <w:r>
              <w:t>Fix root cause</w:t>
            </w:r>
          </w:p>
        </w:tc>
      </w:tr>
      <w:tr>
        <w:tc>
          <w:tcPr>
            <w:tcW w:type="dxa" w:w="4968"/>
            <w:vAlign w:val="top"/>
          </w:tcPr>
          <w:p>
            <w:r>
              <w:t>Validate</w:t>
            </w:r>
          </w:p>
        </w:tc>
        <w:tc>
          <w:tcPr>
            <w:tcW w:type="dxa" w:w="4968"/>
            <w:vAlign w:val="top"/>
          </w:tcPr>
          <w:p>
            <w:r>
              <w:t>Run security/regression tests</w:t>
            </w:r>
          </w:p>
        </w:tc>
      </w:tr>
      <w:tr>
        <w:tc>
          <w:tcPr>
            <w:tcW w:type="dxa" w:w="4968"/>
            <w:vAlign w:val="top"/>
          </w:tcPr>
          <w:p>
            <w:r>
              <w:t>Restore</w:t>
            </w:r>
          </w:p>
        </w:tc>
        <w:tc>
          <w:tcPr>
            <w:tcW w:type="dxa" w:w="4968"/>
            <w:vAlign w:val="top"/>
          </w:tcPr>
          <w:p>
            <w:r>
              <w:t>Return controlled capability</w:t>
            </w:r>
          </w:p>
        </w:tc>
      </w:tr>
      <w:tr>
        <w:tc>
          <w:tcPr>
            <w:tcW w:type="dxa" w:w="4968"/>
            <w:vAlign w:val="top"/>
          </w:tcPr>
          <w:p>
            <w:r>
              <w:t>Learn</w:t>
            </w:r>
          </w:p>
        </w:tc>
        <w:tc>
          <w:tcPr>
            <w:tcW w:type="dxa" w:w="4968"/>
            <w:vAlign w:val="top"/>
          </w:tcPr>
          <w:p>
            <w:r>
              <w:t>Update tests and controls</w:t>
            </w:r>
          </w:p>
        </w:tc>
      </w:tr>
    </w:tbl>
    <w:p>
      <w:pPr>
        <w:pStyle w:val="Heading1"/>
      </w:pPr>
      <w:r>
        <w:t>24. Kill Switch / Service Disablement</w:t>
      </w:r>
    </w:p>
    <w:p>
      <w:r>
        <w:t>For client deployments where contractual or operational requirements permit controlled service suspension, the platform should support a server-enforced service state rather than relying on UI hiding.</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State</w:t>
            </w:r>
          </w:p>
        </w:tc>
        <w:tc>
          <w:tcPr>
            <w:tcW w:type="dxa" w:w="4968"/>
            <w:shd w:fill="EAF2F8"/>
            <w:vAlign w:val="center"/>
          </w:tcPr>
          <w:p>
            <w:r>
              <w:rPr>
                <w:b/>
              </w:rPr>
              <w:t>Behaviour</w:t>
            </w:r>
          </w:p>
        </w:tc>
      </w:tr>
      <w:tr>
        <w:tc>
          <w:tcPr>
            <w:tcW w:type="dxa" w:w="4968"/>
            <w:vAlign w:val="top"/>
          </w:tcPr>
          <w:p>
            <w:r>
              <w:t>Active</w:t>
            </w:r>
          </w:p>
        </w:tc>
        <w:tc>
          <w:tcPr>
            <w:tcW w:type="dxa" w:w="4968"/>
            <w:vAlign w:val="top"/>
          </w:tcPr>
          <w:p>
            <w:r>
              <w:t>Normal operation</w:t>
            </w:r>
          </w:p>
        </w:tc>
      </w:tr>
      <w:tr>
        <w:tc>
          <w:tcPr>
            <w:tcW w:type="dxa" w:w="4968"/>
            <w:vAlign w:val="top"/>
          </w:tcPr>
          <w:p>
            <w:r>
              <w:t>Restricted</w:t>
            </w:r>
          </w:p>
        </w:tc>
        <w:tc>
          <w:tcPr>
            <w:tcW w:type="dxa" w:w="4968"/>
            <w:vAlign w:val="top"/>
          </w:tcPr>
          <w:p>
            <w:r>
              <w:t>Read-only or limited capabilities</w:t>
            </w:r>
          </w:p>
        </w:tc>
      </w:tr>
      <w:tr>
        <w:tc>
          <w:tcPr>
            <w:tcW w:type="dxa" w:w="4968"/>
            <w:vAlign w:val="top"/>
          </w:tcPr>
          <w:p>
            <w:r>
              <w:t>Maintenance</w:t>
            </w:r>
          </w:p>
        </w:tc>
        <w:tc>
          <w:tcPr>
            <w:tcW w:type="dxa" w:w="4968"/>
            <w:vAlign w:val="top"/>
          </w:tcPr>
          <w:p>
            <w:r>
              <w:t>Configured maintenance response</w:t>
            </w:r>
          </w:p>
        </w:tc>
      </w:tr>
      <w:tr>
        <w:tc>
          <w:tcPr>
            <w:tcW w:type="dxa" w:w="4968"/>
            <w:vAlign w:val="top"/>
          </w:tcPr>
          <w:p>
            <w:r>
              <w:t>Suspended</w:t>
            </w:r>
          </w:p>
        </w:tc>
        <w:tc>
          <w:tcPr>
            <w:tcW w:type="dxa" w:w="4968"/>
            <w:vAlign w:val="top"/>
          </w:tcPr>
          <w:p>
            <w:r>
              <w:t>Access blocked except authorised administration</w:t>
            </w:r>
          </w:p>
        </w:tc>
      </w:tr>
      <w:tr>
        <w:tc>
          <w:tcPr>
            <w:tcW w:type="dxa" w:w="4968"/>
            <w:vAlign w:val="top"/>
          </w:tcPr>
          <w:p>
            <w:r>
              <w:t>Decommissioned</w:t>
            </w:r>
          </w:p>
        </w:tc>
        <w:tc>
          <w:tcPr>
            <w:tcW w:type="dxa" w:w="4968"/>
            <w:vAlign w:val="top"/>
          </w:tcPr>
          <w:p>
            <w:r>
              <w:t>Service permanently disabled after controlled process</w:t>
            </w:r>
          </w:p>
        </w:tc>
      </w:tr>
    </w:tbl>
    <w:p>
      <w:r>
        <w:t>Any suspension mechanism should be implemented as an explicit platform control with appropriate contractual, security and audit considerations.</w:t>
      </w:r>
    </w:p>
    <w:p>
      <w:pPr>
        <w:pStyle w:val="Heading1"/>
      </w:pPr>
      <w:r>
        <w:t>25. Backup &amp; Recovery</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Asset</w:t>
            </w:r>
          </w:p>
        </w:tc>
        <w:tc>
          <w:tcPr>
            <w:tcW w:type="dxa" w:w="4968"/>
            <w:shd w:fill="EAF2F8"/>
            <w:vAlign w:val="center"/>
          </w:tcPr>
          <w:p>
            <w:r>
              <w:rPr>
                <w:b/>
              </w:rPr>
              <w:t>Recovery consideration</w:t>
            </w:r>
          </w:p>
        </w:tc>
      </w:tr>
      <w:tr>
        <w:tc>
          <w:tcPr>
            <w:tcW w:type="dxa" w:w="4968"/>
            <w:vAlign w:val="top"/>
          </w:tcPr>
          <w:p>
            <w:r>
              <w:t>Configuration</w:t>
            </w:r>
          </w:p>
        </w:tc>
        <w:tc>
          <w:tcPr>
            <w:tcW w:type="dxa" w:w="4968"/>
            <w:vAlign w:val="top"/>
          </w:tcPr>
          <w:p>
            <w:r>
              <w:t>Versioned backup + rollback</w:t>
            </w:r>
          </w:p>
        </w:tc>
      </w:tr>
      <w:tr>
        <w:tc>
          <w:tcPr>
            <w:tcW w:type="dxa" w:w="4968"/>
            <w:vAlign w:val="top"/>
          </w:tcPr>
          <w:p>
            <w:r>
              <w:t>Database</w:t>
            </w:r>
          </w:p>
        </w:tc>
        <w:tc>
          <w:tcPr>
            <w:tcW w:type="dxa" w:w="4968"/>
            <w:vAlign w:val="top"/>
          </w:tcPr>
          <w:p>
            <w:r>
              <w:t>Client-defined backup/recovery strategy</w:t>
            </w:r>
          </w:p>
        </w:tc>
      </w:tr>
      <w:tr>
        <w:tc>
          <w:tcPr>
            <w:tcW w:type="dxa" w:w="4968"/>
            <w:vAlign w:val="top"/>
          </w:tcPr>
          <w:p>
            <w:r>
              <w:t>Knowledge index</w:t>
            </w:r>
          </w:p>
        </w:tc>
        <w:tc>
          <w:tcPr>
            <w:tcW w:type="dxa" w:w="4968"/>
            <w:vAlign w:val="top"/>
          </w:tcPr>
          <w:p>
            <w:r>
              <w:t>Rebuildable from source + metadata</w:t>
            </w:r>
          </w:p>
        </w:tc>
      </w:tr>
      <w:tr>
        <w:tc>
          <w:tcPr>
            <w:tcW w:type="dxa" w:w="4968"/>
            <w:vAlign w:val="top"/>
          </w:tcPr>
          <w:p>
            <w:r>
              <w:t>Documents</w:t>
            </w:r>
          </w:p>
        </w:tc>
        <w:tc>
          <w:tcPr>
            <w:tcW w:type="dxa" w:w="4968"/>
            <w:vAlign w:val="top"/>
          </w:tcPr>
          <w:p>
            <w:r>
              <w:t>Authoritative source retention</w:t>
            </w:r>
          </w:p>
        </w:tc>
      </w:tr>
      <w:tr>
        <w:tc>
          <w:tcPr>
            <w:tcW w:type="dxa" w:w="4968"/>
            <w:vAlign w:val="top"/>
          </w:tcPr>
          <w:p>
            <w:r>
              <w:t>Audit</w:t>
            </w:r>
          </w:p>
        </w:tc>
        <w:tc>
          <w:tcPr>
            <w:tcW w:type="dxa" w:w="4968"/>
            <w:vAlign w:val="top"/>
          </w:tcPr>
          <w:p>
            <w:r>
              <w:t>Protected retention</w:t>
            </w:r>
          </w:p>
        </w:tc>
      </w:tr>
      <w:tr>
        <w:tc>
          <w:tcPr>
            <w:tcW w:type="dxa" w:w="4968"/>
            <w:vAlign w:val="top"/>
          </w:tcPr>
          <w:p>
            <w:r>
              <w:t>Secrets</w:t>
            </w:r>
          </w:p>
        </w:tc>
        <w:tc>
          <w:tcPr>
            <w:tcW w:type="dxa" w:w="4968"/>
            <w:vAlign w:val="top"/>
          </w:tcPr>
          <w:p>
            <w:r>
              <w:t>Recoverable through secure secret-management process</w:t>
            </w:r>
          </w:p>
        </w:tc>
      </w:tr>
    </w:tbl>
    <w:p>
      <w:pPr>
        <w:pStyle w:val="Heading1"/>
      </w:pPr>
      <w:r>
        <w:t>26. Business Continuity</w:t>
      </w:r>
    </w:p>
    <w:p>
      <w:r>
        <w:t>Synbot should define what happens when dependencies are unavailable.</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Dependency failure</w:t>
            </w:r>
          </w:p>
        </w:tc>
        <w:tc>
          <w:tcPr>
            <w:tcW w:type="dxa" w:w="4968"/>
            <w:shd w:fill="EAF2F8"/>
            <w:vAlign w:val="center"/>
          </w:tcPr>
          <w:p>
            <w:r>
              <w:rPr>
                <w:b/>
              </w:rPr>
              <w:t>Fallback</w:t>
            </w:r>
          </w:p>
        </w:tc>
      </w:tr>
      <w:tr>
        <w:tc>
          <w:tcPr>
            <w:tcW w:type="dxa" w:w="4968"/>
            <w:vAlign w:val="top"/>
          </w:tcPr>
          <w:p>
            <w:r>
              <w:t>LLM provider unavailable</w:t>
            </w:r>
          </w:p>
        </w:tc>
        <w:tc>
          <w:tcPr>
            <w:tcW w:type="dxa" w:w="4968"/>
            <w:vAlign w:val="top"/>
          </w:tcPr>
          <w:p>
            <w:r>
              <w:t>Configured fallback model/service if permitted</w:t>
            </w:r>
          </w:p>
        </w:tc>
      </w:tr>
      <w:tr>
        <w:tc>
          <w:tcPr>
            <w:tcW w:type="dxa" w:w="4968"/>
            <w:vAlign w:val="top"/>
          </w:tcPr>
          <w:p>
            <w:r>
              <w:t>Database unavailable</w:t>
            </w:r>
          </w:p>
        </w:tc>
        <w:tc>
          <w:tcPr>
            <w:tcW w:type="dxa" w:w="4968"/>
            <w:vAlign w:val="top"/>
          </w:tcPr>
          <w:p>
            <w:r>
              <w:t>Safe unavailable-state response</w:t>
            </w:r>
          </w:p>
        </w:tc>
      </w:tr>
      <w:tr>
        <w:tc>
          <w:tcPr>
            <w:tcW w:type="dxa" w:w="4968"/>
            <w:vAlign w:val="top"/>
          </w:tcPr>
          <w:p>
            <w:r>
              <w:t>RAG unavailable</w:t>
            </w:r>
          </w:p>
        </w:tc>
        <w:tc>
          <w:tcPr>
            <w:tcW w:type="dxa" w:w="4968"/>
            <w:vAlign w:val="top"/>
          </w:tcPr>
          <w:p>
            <w:r>
              <w:t>Do not pretend policy was checked</w:t>
            </w:r>
          </w:p>
        </w:tc>
      </w:tr>
      <w:tr>
        <w:tc>
          <w:tcPr>
            <w:tcW w:type="dxa" w:w="4968"/>
            <w:vAlign w:val="top"/>
          </w:tcPr>
          <w:p>
            <w:r>
              <w:t>Tool unavailable</w:t>
            </w:r>
          </w:p>
        </w:tc>
        <w:tc>
          <w:tcPr>
            <w:tcW w:type="dxa" w:w="4968"/>
            <w:vAlign w:val="top"/>
          </w:tcPr>
          <w:p>
            <w:r>
              <w:t>Stop action; explain limitation</w:t>
            </w:r>
          </w:p>
        </w:tc>
      </w:tr>
      <w:tr>
        <w:tc>
          <w:tcPr>
            <w:tcW w:type="dxa" w:w="4968"/>
            <w:vAlign w:val="top"/>
          </w:tcPr>
          <w:p>
            <w:r>
              <w:t>External API unavailable</w:t>
            </w:r>
          </w:p>
        </w:tc>
        <w:tc>
          <w:tcPr>
            <w:tcW w:type="dxa" w:w="4968"/>
            <w:vAlign w:val="top"/>
          </w:tcPr>
          <w:p>
            <w:r>
              <w:t>Use approved cached state only if freshness permits</w:t>
            </w:r>
          </w:p>
        </w:tc>
      </w:tr>
      <w:tr>
        <w:tc>
          <w:tcPr>
            <w:tcW w:type="dxa" w:w="4968"/>
            <w:vAlign w:val="top"/>
          </w:tcPr>
          <w:p>
            <w:r>
              <w:t>Telemetry unavailable</w:t>
            </w:r>
          </w:p>
        </w:tc>
        <w:tc>
          <w:tcPr>
            <w:tcW w:type="dxa" w:w="4968"/>
            <w:vAlign w:val="top"/>
          </w:tcPr>
          <w:p>
            <w:r>
              <w:t>Follow client risk policy for critical actions</w:t>
            </w:r>
          </w:p>
        </w:tc>
      </w:tr>
    </w:tbl>
    <w:p>
      <w:pPr>
        <w:pStyle w:val="Heading1"/>
      </w:pPr>
      <w:r>
        <w:t>27. Security Testing</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Test family</w:t>
            </w:r>
          </w:p>
        </w:tc>
        <w:tc>
          <w:tcPr>
            <w:tcW w:type="dxa" w:w="4968"/>
            <w:shd w:fill="EAF2F8"/>
            <w:vAlign w:val="center"/>
          </w:tcPr>
          <w:p>
            <w:r>
              <w:rPr>
                <w:b/>
              </w:rPr>
              <w:t>Examples</w:t>
            </w:r>
          </w:p>
        </w:tc>
      </w:tr>
      <w:tr>
        <w:tc>
          <w:tcPr>
            <w:tcW w:type="dxa" w:w="4968"/>
            <w:vAlign w:val="top"/>
          </w:tcPr>
          <w:p>
            <w:r>
              <w:t>Authentication</w:t>
            </w:r>
          </w:p>
        </w:tc>
        <w:tc>
          <w:tcPr>
            <w:tcW w:type="dxa" w:w="4968"/>
            <w:vAlign w:val="top"/>
          </w:tcPr>
          <w:p>
            <w:r>
              <w:t>Invalid/expired session</w:t>
            </w:r>
          </w:p>
        </w:tc>
      </w:tr>
      <w:tr>
        <w:tc>
          <w:tcPr>
            <w:tcW w:type="dxa" w:w="4968"/>
            <w:vAlign w:val="top"/>
          </w:tcPr>
          <w:p>
            <w:r>
              <w:t>Authorisation</w:t>
            </w:r>
          </w:p>
        </w:tc>
        <w:tc>
          <w:tcPr>
            <w:tcW w:type="dxa" w:w="4968"/>
            <w:vAlign w:val="top"/>
          </w:tcPr>
          <w:p>
            <w:r>
              <w:t>Role attempts restricted action</w:t>
            </w:r>
          </w:p>
        </w:tc>
      </w:tr>
      <w:tr>
        <w:tc>
          <w:tcPr>
            <w:tcW w:type="dxa" w:w="4968"/>
            <w:vAlign w:val="top"/>
          </w:tcPr>
          <w:p>
            <w:r>
              <w:t>Tenant isolation</w:t>
            </w:r>
          </w:p>
        </w:tc>
        <w:tc>
          <w:tcPr>
            <w:tcW w:type="dxa" w:w="4968"/>
            <w:vAlign w:val="top"/>
          </w:tcPr>
          <w:p>
            <w:r>
              <w:t>User attempts cross-client retrieval</w:t>
            </w:r>
          </w:p>
        </w:tc>
      </w:tr>
      <w:tr>
        <w:tc>
          <w:tcPr>
            <w:tcW w:type="dxa" w:w="4968"/>
            <w:vAlign w:val="top"/>
          </w:tcPr>
          <w:p>
            <w:r>
              <w:t>Company isolation</w:t>
            </w:r>
          </w:p>
        </w:tc>
        <w:tc>
          <w:tcPr>
            <w:tcW w:type="dxa" w:w="4968"/>
            <w:vAlign w:val="top"/>
          </w:tcPr>
          <w:p>
            <w:r>
              <w:t>User attempts cross-subsidiary access</w:t>
            </w:r>
          </w:p>
        </w:tc>
      </w:tr>
      <w:tr>
        <w:tc>
          <w:tcPr>
            <w:tcW w:type="dxa" w:w="4968"/>
            <w:vAlign w:val="top"/>
          </w:tcPr>
          <w:p>
            <w:r>
              <w:t>Data exposure</w:t>
            </w:r>
          </w:p>
        </w:tc>
        <w:tc>
          <w:tcPr>
            <w:tcW w:type="dxa" w:w="4968"/>
            <w:vAlign w:val="top"/>
          </w:tcPr>
          <w:p>
            <w:r>
              <w:t>Sensitive field request</w:t>
            </w:r>
          </w:p>
        </w:tc>
      </w:tr>
      <w:tr>
        <w:tc>
          <w:tcPr>
            <w:tcW w:type="dxa" w:w="4968"/>
            <w:vAlign w:val="top"/>
          </w:tcPr>
          <w:p>
            <w:r>
              <w:t>Tool security</w:t>
            </w:r>
          </w:p>
        </w:tc>
        <w:tc>
          <w:tcPr>
            <w:tcW w:type="dxa" w:w="4968"/>
            <w:vAlign w:val="top"/>
          </w:tcPr>
          <w:p>
            <w:r>
              <w:t>Invalid arguments / unauthorised write</w:t>
            </w:r>
          </w:p>
        </w:tc>
      </w:tr>
      <w:tr>
        <w:tc>
          <w:tcPr>
            <w:tcW w:type="dxa" w:w="4968"/>
            <w:vAlign w:val="top"/>
          </w:tcPr>
          <w:p>
            <w:r>
              <w:t>Prompt injection</w:t>
            </w:r>
          </w:p>
        </w:tc>
        <w:tc>
          <w:tcPr>
            <w:tcW w:type="dxa" w:w="4968"/>
            <w:vAlign w:val="top"/>
          </w:tcPr>
          <w:p>
            <w:r>
              <w:t>Malicious instruction in retrieved content</w:t>
            </w:r>
          </w:p>
        </w:tc>
      </w:tr>
      <w:tr>
        <w:tc>
          <w:tcPr>
            <w:tcW w:type="dxa" w:w="4968"/>
            <w:vAlign w:val="top"/>
          </w:tcPr>
          <w:p>
            <w:r>
              <w:t>Configuration</w:t>
            </w:r>
          </w:p>
        </w:tc>
        <w:tc>
          <w:tcPr>
            <w:tcW w:type="dxa" w:w="4968"/>
            <w:vAlign w:val="top"/>
          </w:tcPr>
          <w:p>
            <w:r>
              <w:t>Attempt to weaken security through override</w:t>
            </w:r>
          </w:p>
        </w:tc>
      </w:tr>
      <w:tr>
        <w:tc>
          <w:tcPr>
            <w:tcW w:type="dxa" w:w="4968"/>
            <w:vAlign w:val="top"/>
          </w:tcPr>
          <w:p>
            <w:r>
              <w:t>Audit</w:t>
            </w:r>
          </w:p>
        </w:tc>
        <w:tc>
          <w:tcPr>
            <w:tcW w:type="dxa" w:w="4968"/>
            <w:vAlign w:val="top"/>
          </w:tcPr>
          <w:p>
            <w:r>
              <w:t>Verify critical event is recorded</w:t>
            </w:r>
          </w:p>
        </w:tc>
      </w:tr>
    </w:tbl>
    <w:p>
      <w:pPr>
        <w:pStyle w:val="Heading1"/>
      </w:pPr>
      <w:r>
        <w:t>28. Governance Roles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Role</w:t>
            </w:r>
          </w:p>
        </w:tc>
        <w:tc>
          <w:tcPr>
            <w:tcW w:type="dxa" w:w="4968"/>
            <w:shd w:fill="EAF2F8"/>
            <w:vAlign w:val="center"/>
          </w:tcPr>
          <w:p>
            <w:r>
              <w:rPr>
                <w:b/>
              </w:rPr>
              <w:t>Responsibility</w:t>
            </w:r>
          </w:p>
        </w:tc>
      </w:tr>
      <w:tr>
        <w:tc>
          <w:tcPr>
            <w:tcW w:type="dxa" w:w="4968"/>
            <w:vAlign w:val="top"/>
          </w:tcPr>
          <w:p>
            <w:r>
              <w:t>Platform owner</w:t>
            </w:r>
          </w:p>
        </w:tc>
        <w:tc>
          <w:tcPr>
            <w:tcW w:type="dxa" w:w="4968"/>
            <w:vAlign w:val="top"/>
          </w:tcPr>
          <w:p>
            <w:r>
              <w:t>Universal Synbot architecture</w:t>
            </w:r>
          </w:p>
        </w:tc>
      </w:tr>
      <w:tr>
        <w:tc>
          <w:tcPr>
            <w:tcW w:type="dxa" w:w="4968"/>
            <w:vAlign w:val="top"/>
          </w:tcPr>
          <w:p>
            <w:r>
              <w:t>Security owner</w:t>
            </w:r>
          </w:p>
        </w:tc>
        <w:tc>
          <w:tcPr>
            <w:tcW w:type="dxa" w:w="4968"/>
            <w:vAlign w:val="top"/>
          </w:tcPr>
          <w:p>
            <w:r>
              <w:t>Security controls and review</w:t>
            </w:r>
          </w:p>
        </w:tc>
      </w:tr>
      <w:tr>
        <w:tc>
          <w:tcPr>
            <w:tcW w:type="dxa" w:w="4968"/>
            <w:vAlign w:val="top"/>
          </w:tcPr>
          <w:p>
            <w:r>
              <w:t>Data owner</w:t>
            </w:r>
          </w:p>
        </w:tc>
        <w:tc>
          <w:tcPr>
            <w:tcW w:type="dxa" w:w="4968"/>
            <w:vAlign w:val="top"/>
          </w:tcPr>
          <w:p>
            <w:r>
              <w:t>Source authority and data quality</w:t>
            </w:r>
          </w:p>
        </w:tc>
      </w:tr>
      <w:tr>
        <w:tc>
          <w:tcPr>
            <w:tcW w:type="dxa" w:w="4968"/>
            <w:vAlign w:val="top"/>
          </w:tcPr>
          <w:p>
            <w:r>
              <w:t>Domain owner</w:t>
            </w:r>
          </w:p>
        </w:tc>
        <w:tc>
          <w:tcPr>
            <w:tcW w:type="dxa" w:w="4968"/>
            <w:vAlign w:val="top"/>
          </w:tcPr>
          <w:p>
            <w:r>
              <w:t>Domain rules and escalation</w:t>
            </w:r>
          </w:p>
        </w:tc>
      </w:tr>
      <w:tr>
        <w:tc>
          <w:tcPr>
            <w:tcW w:type="dxa" w:w="4968"/>
            <w:vAlign w:val="top"/>
          </w:tcPr>
          <w:p>
            <w:r>
              <w:t>Client owner</w:t>
            </w:r>
          </w:p>
        </w:tc>
        <w:tc>
          <w:tcPr>
            <w:tcW w:type="dxa" w:w="4968"/>
            <w:vAlign w:val="top"/>
          </w:tcPr>
          <w:p>
            <w:r>
              <w:t>Organisation-specific configuration</w:t>
            </w:r>
          </w:p>
        </w:tc>
      </w:tr>
      <w:tr>
        <w:tc>
          <w:tcPr>
            <w:tcW w:type="dxa" w:w="4968"/>
            <w:vAlign w:val="top"/>
          </w:tcPr>
          <w:p>
            <w:r>
              <w:t>Technical owner</w:t>
            </w:r>
          </w:p>
        </w:tc>
        <w:tc>
          <w:tcPr>
            <w:tcW w:type="dxa" w:w="4968"/>
            <w:vAlign w:val="top"/>
          </w:tcPr>
          <w:p>
            <w:r>
              <w:t>Integrations and deployment</w:t>
            </w:r>
          </w:p>
        </w:tc>
      </w:tr>
      <w:tr>
        <w:tc>
          <w:tcPr>
            <w:tcW w:type="dxa" w:w="4968"/>
            <w:vAlign w:val="top"/>
          </w:tcPr>
          <w:p>
            <w:r>
              <w:t>Quality owner</w:t>
            </w:r>
          </w:p>
        </w:tc>
        <w:tc>
          <w:tcPr>
            <w:tcW w:type="dxa" w:w="4968"/>
            <w:vAlign w:val="top"/>
          </w:tcPr>
          <w:p>
            <w:r>
              <w:t>Evaluation and regression</w:t>
            </w:r>
          </w:p>
        </w:tc>
      </w:tr>
      <w:tr>
        <w:tc>
          <w:tcPr>
            <w:tcW w:type="dxa" w:w="4968"/>
            <w:vAlign w:val="top"/>
          </w:tcPr>
          <w:p>
            <w:r>
              <w:t>Administrator</w:t>
            </w:r>
          </w:p>
        </w:tc>
        <w:tc>
          <w:tcPr>
            <w:tcW w:type="dxa" w:w="4968"/>
            <w:vAlign w:val="top"/>
          </w:tcPr>
          <w:p>
            <w:r>
              <w:t>Controlled operational administration</w:t>
            </w:r>
          </w:p>
        </w:tc>
      </w:tr>
    </w:tbl>
    <w:p>
      <w:pPr>
        <w:pStyle w:val="Heading1"/>
      </w:pPr>
      <w:r>
        <w:t>29. Client Governance Pack</w:t>
      </w:r>
    </w:p>
    <w:p>
      <w:pPr>
        <w:pStyle w:val="ListBullet"/>
      </w:pPr>
      <w:r>
        <w:t>Client/tenant identity</w:t>
      </w:r>
    </w:p>
    <w:p>
      <w:pPr>
        <w:pStyle w:val="ListBullet"/>
      </w:pPr>
      <w:r>
        <w:t>Companies/subsidiaries</w:t>
      </w:r>
    </w:p>
    <w:p>
      <w:pPr>
        <w:pStyle w:val="ListBullet"/>
      </w:pPr>
      <w:r>
        <w:t>Roles and permission model</w:t>
      </w:r>
    </w:p>
    <w:p>
      <w:pPr>
        <w:pStyle w:val="ListBullet"/>
      </w:pPr>
      <w:r>
        <w:t>Data classifications</w:t>
      </w:r>
    </w:p>
    <w:p>
      <w:pPr>
        <w:pStyle w:val="ListBullet"/>
      </w:pPr>
      <w:r>
        <w:t>Source-of-truth registry</w:t>
      </w:r>
    </w:p>
    <w:p>
      <w:pPr>
        <w:pStyle w:val="ListBullet"/>
      </w:pPr>
      <w:r>
        <w:t>Approved knowledge sources</w:t>
      </w:r>
    </w:p>
    <w:p>
      <w:pPr>
        <w:pStyle w:val="ListBullet"/>
      </w:pPr>
      <w:r>
        <w:t>Enabled tools</w:t>
      </w:r>
    </w:p>
    <w:p>
      <w:pPr>
        <w:pStyle w:val="ListBullet"/>
      </w:pPr>
      <w:r>
        <w:t>High-risk workflows</w:t>
      </w:r>
    </w:p>
    <w:p>
      <w:pPr>
        <w:pStyle w:val="ListBullet"/>
      </w:pPr>
      <w:r>
        <w:t>Escalation contacts/processes</w:t>
      </w:r>
    </w:p>
    <w:p>
      <w:pPr>
        <w:pStyle w:val="ListBullet"/>
      </w:pPr>
      <w:r>
        <w:t>Audit requirements</w:t>
      </w:r>
    </w:p>
    <w:p>
      <w:pPr>
        <w:pStyle w:val="ListBullet"/>
      </w:pPr>
      <w:r>
        <w:t>Retention requirements</w:t>
      </w:r>
    </w:p>
    <w:p>
      <w:pPr>
        <w:pStyle w:val="ListBullet"/>
      </w:pPr>
      <w:r>
        <w:t>Change approval rules</w:t>
      </w:r>
    </w:p>
    <w:p>
      <w:pPr>
        <w:pStyle w:val="ListBullet"/>
      </w:pPr>
      <w:r>
        <w:t>Incident response contacts</w:t>
      </w:r>
    </w:p>
    <w:p>
      <w:pPr>
        <w:pStyle w:val="ListBullet"/>
      </w:pPr>
      <w:r>
        <w:t>Service suspension/maintenance rules</w:t>
      </w:r>
    </w:p>
    <w:p>
      <w:pPr>
        <w:pStyle w:val="Heading1"/>
      </w:pPr>
      <w:r>
        <w:t>30. Example: Synbot Health</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Control</w:t>
            </w:r>
          </w:p>
        </w:tc>
        <w:tc>
          <w:tcPr>
            <w:tcW w:type="dxa" w:w="4968"/>
            <w:shd w:fill="EAF2F8"/>
            <w:vAlign w:val="center"/>
          </w:tcPr>
          <w:p>
            <w:r>
              <w:rPr>
                <w:b/>
              </w:rPr>
              <w:t>Example</w:t>
            </w:r>
          </w:p>
        </w:tc>
      </w:tr>
      <w:tr>
        <w:tc>
          <w:tcPr>
            <w:tcW w:type="dxa" w:w="4968"/>
            <w:vAlign w:val="top"/>
          </w:tcPr>
          <w:p>
            <w:r>
              <w:t>Tenant</w:t>
            </w:r>
          </w:p>
        </w:tc>
        <w:tc>
          <w:tcPr>
            <w:tcW w:type="dxa" w:w="4968"/>
            <w:vAlign w:val="top"/>
          </w:tcPr>
          <w:p>
            <w:r>
              <w:t>Hospital organisation</w:t>
            </w:r>
          </w:p>
        </w:tc>
      </w:tr>
      <w:tr>
        <w:tc>
          <w:tcPr>
            <w:tcW w:type="dxa" w:w="4968"/>
            <w:vAlign w:val="top"/>
          </w:tcPr>
          <w:p>
            <w:r>
              <w:t>Companies/sites</w:t>
            </w:r>
          </w:p>
        </w:tc>
        <w:tc>
          <w:tcPr>
            <w:tcW w:type="dxa" w:w="4968"/>
            <w:vAlign w:val="top"/>
          </w:tcPr>
          <w:p>
            <w:r>
              <w:t>Configured hospital entities</w:t>
            </w:r>
          </w:p>
        </w:tc>
      </w:tr>
      <w:tr>
        <w:tc>
          <w:tcPr>
            <w:tcW w:type="dxa" w:w="4968"/>
            <w:vAlign w:val="top"/>
          </w:tcPr>
          <w:p>
            <w:r>
              <w:t>Roles</w:t>
            </w:r>
          </w:p>
        </w:tc>
        <w:tc>
          <w:tcPr>
            <w:tcW w:type="dxa" w:w="4968"/>
            <w:vAlign w:val="top"/>
          </w:tcPr>
          <w:p>
            <w:r>
              <w:t>Clinician, nurse, pharmacist, admin</w:t>
            </w:r>
          </w:p>
        </w:tc>
      </w:tr>
      <w:tr>
        <w:tc>
          <w:tcPr>
            <w:tcW w:type="dxa" w:w="4968"/>
            <w:vAlign w:val="top"/>
          </w:tcPr>
          <w:p>
            <w:r>
              <w:t>Restricted data</w:t>
            </w:r>
          </w:p>
        </w:tc>
        <w:tc>
          <w:tcPr>
            <w:tcW w:type="dxa" w:w="4968"/>
            <w:vAlign w:val="top"/>
          </w:tcPr>
          <w:p>
            <w:r>
              <w:t>Clinical records</w:t>
            </w:r>
          </w:p>
        </w:tc>
      </w:tr>
      <w:tr>
        <w:tc>
          <w:tcPr>
            <w:tcW w:type="dxa" w:w="4968"/>
            <w:vAlign w:val="top"/>
          </w:tcPr>
          <w:p>
            <w:r>
              <w:t>High-risk actions</w:t>
            </w:r>
          </w:p>
        </w:tc>
        <w:tc>
          <w:tcPr>
            <w:tcW w:type="dxa" w:w="4968"/>
            <w:vAlign w:val="top"/>
          </w:tcPr>
          <w:p>
            <w:r>
              <w:t>Clinical workflow/medication-related operations</w:t>
            </w:r>
          </w:p>
        </w:tc>
      </w:tr>
      <w:tr>
        <w:tc>
          <w:tcPr>
            <w:tcW w:type="dxa" w:w="4968"/>
            <w:vAlign w:val="top"/>
          </w:tcPr>
          <w:p>
            <w:r>
              <w:t>Audit</w:t>
            </w:r>
          </w:p>
        </w:tc>
        <w:tc>
          <w:tcPr>
            <w:tcW w:type="dxa" w:w="4968"/>
            <w:vAlign w:val="top"/>
          </w:tcPr>
          <w:p>
            <w:r>
              <w:t>Record access and consequential actions</w:t>
            </w:r>
          </w:p>
        </w:tc>
      </w:tr>
      <w:tr>
        <w:tc>
          <w:tcPr>
            <w:tcW w:type="dxa" w:w="4968"/>
            <w:vAlign w:val="top"/>
          </w:tcPr>
          <w:p>
            <w:r>
              <w:t>Escalation</w:t>
            </w:r>
          </w:p>
        </w:tc>
        <w:tc>
          <w:tcPr>
            <w:tcW w:type="dxa" w:w="4968"/>
            <w:vAlign w:val="top"/>
          </w:tcPr>
          <w:p>
            <w:r>
              <w:t>Configured clinical/admin human workflow</w:t>
            </w:r>
          </w:p>
        </w:tc>
      </w:tr>
    </w:tbl>
    <w:p>
      <w:pPr>
        <w:pStyle w:val="Heading1"/>
      </w:pPr>
      <w:r>
        <w:t>31. Example: Placeware</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Control</w:t>
            </w:r>
          </w:p>
        </w:tc>
        <w:tc>
          <w:tcPr>
            <w:tcW w:type="dxa" w:w="4968"/>
            <w:shd w:fill="EAF2F8"/>
            <w:vAlign w:val="center"/>
          </w:tcPr>
          <w:p>
            <w:r>
              <w:rPr>
                <w:b/>
              </w:rPr>
              <w:t>Example</w:t>
            </w:r>
          </w:p>
        </w:tc>
      </w:tr>
      <w:tr>
        <w:tc>
          <w:tcPr>
            <w:tcW w:type="dxa" w:w="4968"/>
            <w:vAlign w:val="top"/>
          </w:tcPr>
          <w:p>
            <w:r>
              <w:t>Tenant</w:t>
            </w:r>
          </w:p>
        </w:tc>
        <w:tc>
          <w:tcPr>
            <w:tcW w:type="dxa" w:w="4968"/>
            <w:vAlign w:val="top"/>
          </w:tcPr>
          <w:p>
            <w:r>
              <w:t>Placeware</w:t>
            </w:r>
          </w:p>
        </w:tc>
      </w:tr>
      <w:tr>
        <w:tc>
          <w:tcPr>
            <w:tcW w:type="dxa" w:w="4968"/>
            <w:vAlign w:val="top"/>
          </w:tcPr>
          <w:p>
            <w:r>
              <w:t>Systems</w:t>
            </w:r>
          </w:p>
        </w:tc>
        <w:tc>
          <w:tcPr>
            <w:tcW w:type="dxa" w:w="4968"/>
            <w:vAlign w:val="top"/>
          </w:tcPr>
          <w:p>
            <w:r>
              <w:t>Sage + Synbot services</w:t>
            </w:r>
          </w:p>
        </w:tc>
      </w:tr>
      <w:tr>
        <w:tc>
          <w:tcPr>
            <w:tcW w:type="dxa" w:w="4968"/>
            <w:vAlign w:val="top"/>
          </w:tcPr>
          <w:p>
            <w:r>
              <w:t>Roles</w:t>
            </w:r>
          </w:p>
        </w:tc>
        <w:tc>
          <w:tcPr>
            <w:tcW w:type="dxa" w:w="4968"/>
            <w:vAlign w:val="top"/>
          </w:tcPr>
          <w:p>
            <w:r>
              <w:t>Finance, inventory, management, sales</w:t>
            </w:r>
          </w:p>
        </w:tc>
      </w:tr>
      <w:tr>
        <w:tc>
          <w:tcPr>
            <w:tcW w:type="dxa" w:w="4968"/>
            <w:vAlign w:val="top"/>
          </w:tcPr>
          <w:p>
            <w:r>
              <w:t>Restricted data</w:t>
            </w:r>
          </w:p>
        </w:tc>
        <w:tc>
          <w:tcPr>
            <w:tcW w:type="dxa" w:w="4968"/>
            <w:vAlign w:val="top"/>
          </w:tcPr>
          <w:p>
            <w:r>
              <w:t>Financial/customer records</w:t>
            </w:r>
          </w:p>
        </w:tc>
      </w:tr>
      <w:tr>
        <w:tc>
          <w:tcPr>
            <w:tcW w:type="dxa" w:w="4968"/>
            <w:vAlign w:val="top"/>
          </w:tcPr>
          <w:p>
            <w:r>
              <w:t>High-risk actions</w:t>
            </w:r>
          </w:p>
        </w:tc>
        <w:tc>
          <w:tcPr>
            <w:tcW w:type="dxa" w:w="4968"/>
            <w:vAlign w:val="top"/>
          </w:tcPr>
          <w:p>
            <w:r>
              <w:t>Accounting/inventory changes</w:t>
            </w:r>
          </w:p>
        </w:tc>
      </w:tr>
      <w:tr>
        <w:tc>
          <w:tcPr>
            <w:tcW w:type="dxa" w:w="4968"/>
            <w:vAlign w:val="top"/>
          </w:tcPr>
          <w:p>
            <w:r>
              <w:t>Audit</w:t>
            </w:r>
          </w:p>
        </w:tc>
        <w:tc>
          <w:tcPr>
            <w:tcW w:type="dxa" w:w="4968"/>
            <w:vAlign w:val="top"/>
          </w:tcPr>
          <w:p>
            <w:r>
              <w:t>Transactions and configuration changes</w:t>
            </w:r>
          </w:p>
        </w:tc>
      </w:tr>
      <w:tr>
        <w:tc>
          <w:tcPr>
            <w:tcW w:type="dxa" w:w="4968"/>
            <w:vAlign w:val="top"/>
          </w:tcPr>
          <w:p>
            <w:r>
              <w:t>Fallback</w:t>
            </w:r>
          </w:p>
        </w:tc>
        <w:tc>
          <w:tcPr>
            <w:tcW w:type="dxa" w:w="4968"/>
            <w:vAlign w:val="top"/>
          </w:tcPr>
          <w:p>
            <w:r>
              <w:t>Safe read-only/unavailable state</w:t>
            </w:r>
          </w:p>
        </w:tc>
      </w:tr>
    </w:tbl>
    <w:p>
      <w:pPr>
        <w:pStyle w:val="Heading1"/>
      </w:pPr>
      <w:r>
        <w:t>32. Example: Atiat</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Control</w:t>
            </w:r>
          </w:p>
        </w:tc>
        <w:tc>
          <w:tcPr>
            <w:tcW w:type="dxa" w:w="4968"/>
            <w:shd w:fill="EAF2F8"/>
            <w:vAlign w:val="center"/>
          </w:tcPr>
          <w:p>
            <w:r>
              <w:rPr>
                <w:b/>
              </w:rPr>
              <w:t>Example</w:t>
            </w:r>
          </w:p>
        </w:tc>
      </w:tr>
      <w:tr>
        <w:tc>
          <w:tcPr>
            <w:tcW w:type="dxa" w:w="4968"/>
            <w:vAlign w:val="top"/>
          </w:tcPr>
          <w:p>
            <w:r>
              <w:t>Tenant</w:t>
            </w:r>
          </w:p>
        </w:tc>
        <w:tc>
          <w:tcPr>
            <w:tcW w:type="dxa" w:w="4968"/>
            <w:vAlign w:val="top"/>
          </w:tcPr>
          <w:p>
            <w:r>
              <w:t>Atiat</w:t>
            </w:r>
          </w:p>
        </w:tc>
      </w:tr>
      <w:tr>
        <w:tc>
          <w:tcPr>
            <w:tcW w:type="dxa" w:w="4968"/>
            <w:vAlign w:val="top"/>
          </w:tcPr>
          <w:p>
            <w:r>
              <w:t>Companies</w:t>
            </w:r>
          </w:p>
        </w:tc>
        <w:tc>
          <w:tcPr>
            <w:tcW w:type="dxa" w:w="4968"/>
            <w:vAlign w:val="top"/>
          </w:tcPr>
          <w:p>
            <w:r>
              <w:t>Insurance, mobility, document/POF services and other subsidiaries</w:t>
            </w:r>
          </w:p>
        </w:tc>
      </w:tr>
      <w:tr>
        <w:tc>
          <w:tcPr>
            <w:tcW w:type="dxa" w:w="4968"/>
            <w:vAlign w:val="top"/>
          </w:tcPr>
          <w:p>
            <w:r>
              <w:t>Shared context</w:t>
            </w:r>
          </w:p>
        </w:tc>
        <w:tc>
          <w:tcPr>
            <w:tcW w:type="dxa" w:w="4968"/>
            <w:vAlign w:val="top"/>
          </w:tcPr>
          <w:p>
            <w:r>
              <w:t>Customer identity where explicitly permitted</w:t>
            </w:r>
          </w:p>
        </w:tc>
      </w:tr>
      <w:tr>
        <w:tc>
          <w:tcPr>
            <w:tcW w:type="dxa" w:w="4968"/>
            <w:vAlign w:val="top"/>
          </w:tcPr>
          <w:p>
            <w:r>
              <w:t>Company boundary</w:t>
            </w:r>
          </w:p>
        </w:tc>
        <w:tc>
          <w:tcPr>
            <w:tcW w:type="dxa" w:w="4968"/>
            <w:vAlign w:val="top"/>
          </w:tcPr>
          <w:p>
            <w:r>
              <w:t>Strict company-specific access</w:t>
            </w:r>
          </w:p>
        </w:tc>
      </w:tr>
      <w:tr>
        <w:tc>
          <w:tcPr>
            <w:tcW w:type="dxa" w:w="4968"/>
            <w:vAlign w:val="top"/>
          </w:tcPr>
          <w:p>
            <w:r>
              <w:t>High-risk actions</w:t>
            </w:r>
          </w:p>
        </w:tc>
        <w:tc>
          <w:tcPr>
            <w:tcW w:type="dxa" w:w="4968"/>
            <w:vAlign w:val="top"/>
          </w:tcPr>
          <w:p>
            <w:r>
              <w:t>Financial/document/operational workflows</w:t>
            </w:r>
          </w:p>
        </w:tc>
      </w:tr>
      <w:tr>
        <w:tc>
          <w:tcPr>
            <w:tcW w:type="dxa" w:w="4968"/>
            <w:vAlign w:val="top"/>
          </w:tcPr>
          <w:p>
            <w:r>
              <w:t>Audit</w:t>
            </w:r>
          </w:p>
        </w:tc>
        <w:tc>
          <w:tcPr>
            <w:tcW w:type="dxa" w:w="4968"/>
            <w:vAlign w:val="top"/>
          </w:tcPr>
          <w:p>
            <w:r>
              <w:t>Company, user, action and workflow</w:t>
            </w:r>
          </w:p>
        </w:tc>
      </w:tr>
      <w:tr>
        <w:tc>
          <w:tcPr>
            <w:tcW w:type="dxa" w:w="4968"/>
            <w:vAlign w:val="top"/>
          </w:tcPr>
          <w:p>
            <w:r>
              <w:t>Admin</w:t>
            </w:r>
          </w:p>
        </w:tc>
        <w:tc>
          <w:tcPr>
            <w:tcW w:type="dxa" w:w="4968"/>
            <w:vAlign w:val="top"/>
          </w:tcPr>
          <w:p>
            <w:r>
              <w:t>Controlled central administration</w:t>
            </w:r>
          </w:p>
        </w:tc>
      </w:tr>
    </w:tbl>
    <w:p>
      <w:pPr>
        <w:pStyle w:val="Heading1"/>
      </w:pPr>
      <w:r>
        <w:t>33. Security Metrics</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Metric</w:t>
            </w:r>
          </w:p>
        </w:tc>
        <w:tc>
          <w:tcPr>
            <w:tcW w:type="dxa" w:w="4968"/>
            <w:shd w:fill="EAF2F8"/>
            <w:vAlign w:val="center"/>
          </w:tcPr>
          <w:p>
            <w:r>
              <w:rPr>
                <w:b/>
              </w:rPr>
              <w:t>Purpose</w:t>
            </w:r>
          </w:p>
        </w:tc>
      </w:tr>
      <w:tr>
        <w:tc>
          <w:tcPr>
            <w:tcW w:type="dxa" w:w="4968"/>
            <w:vAlign w:val="top"/>
          </w:tcPr>
          <w:p>
            <w:r>
              <w:t>Unauthorised access attempts</w:t>
            </w:r>
          </w:p>
        </w:tc>
        <w:tc>
          <w:tcPr>
            <w:tcW w:type="dxa" w:w="4968"/>
            <w:vAlign w:val="top"/>
          </w:tcPr>
          <w:p>
            <w:r>
              <w:t>Detect access-control issues</w:t>
            </w:r>
          </w:p>
        </w:tc>
      </w:tr>
      <w:tr>
        <w:tc>
          <w:tcPr>
            <w:tcW w:type="dxa" w:w="4968"/>
            <w:vAlign w:val="top"/>
          </w:tcPr>
          <w:p>
            <w:r>
              <w:t>Cross-company access blocks</w:t>
            </w:r>
          </w:p>
        </w:tc>
        <w:tc>
          <w:tcPr>
            <w:tcW w:type="dxa" w:w="4968"/>
            <w:vAlign w:val="top"/>
          </w:tcPr>
          <w:p>
            <w:r>
              <w:t>Monitor isolation attempts</w:t>
            </w:r>
          </w:p>
        </w:tc>
      </w:tr>
      <w:tr>
        <w:tc>
          <w:tcPr>
            <w:tcW w:type="dxa" w:w="4968"/>
            <w:vAlign w:val="top"/>
          </w:tcPr>
          <w:p>
            <w:r>
              <w:t>Tool permission failures</w:t>
            </w:r>
          </w:p>
        </w:tc>
        <w:tc>
          <w:tcPr>
            <w:tcW w:type="dxa" w:w="4968"/>
            <w:vAlign w:val="top"/>
          </w:tcPr>
          <w:p>
            <w:r>
              <w:t>Detect workflow/role issues</w:t>
            </w:r>
          </w:p>
        </w:tc>
      </w:tr>
      <w:tr>
        <w:tc>
          <w:tcPr>
            <w:tcW w:type="dxa" w:w="4968"/>
            <w:vAlign w:val="top"/>
          </w:tcPr>
          <w:p>
            <w:r>
              <w:t>Sensitive-data access</w:t>
            </w:r>
          </w:p>
        </w:tc>
        <w:tc>
          <w:tcPr>
            <w:tcW w:type="dxa" w:w="4968"/>
            <w:vAlign w:val="top"/>
          </w:tcPr>
          <w:p>
            <w:r>
              <w:t>Audit usage</w:t>
            </w:r>
          </w:p>
        </w:tc>
      </w:tr>
      <w:tr>
        <w:tc>
          <w:tcPr>
            <w:tcW w:type="dxa" w:w="4968"/>
            <w:vAlign w:val="top"/>
          </w:tcPr>
          <w:p>
            <w:r>
              <w:t>Security configuration changes</w:t>
            </w:r>
          </w:p>
        </w:tc>
        <w:tc>
          <w:tcPr>
            <w:tcW w:type="dxa" w:w="4968"/>
            <w:vAlign w:val="top"/>
          </w:tcPr>
          <w:p>
            <w:r>
              <w:t>Govern change</w:t>
            </w:r>
          </w:p>
        </w:tc>
      </w:tr>
      <w:tr>
        <w:tc>
          <w:tcPr>
            <w:tcW w:type="dxa" w:w="4968"/>
            <w:vAlign w:val="top"/>
          </w:tcPr>
          <w:p>
            <w:r>
              <w:t>Critical action failures</w:t>
            </w:r>
          </w:p>
        </w:tc>
        <w:tc>
          <w:tcPr>
            <w:tcW w:type="dxa" w:w="4968"/>
            <w:vAlign w:val="top"/>
          </w:tcPr>
          <w:p>
            <w:r>
              <w:t>Operational risk</w:t>
            </w:r>
          </w:p>
        </w:tc>
      </w:tr>
      <w:tr>
        <w:tc>
          <w:tcPr>
            <w:tcW w:type="dxa" w:w="4968"/>
            <w:vAlign w:val="top"/>
          </w:tcPr>
          <w:p>
            <w:r>
              <w:t>Audit completeness</w:t>
            </w:r>
          </w:p>
        </w:tc>
        <w:tc>
          <w:tcPr>
            <w:tcW w:type="dxa" w:w="4968"/>
            <w:vAlign w:val="top"/>
          </w:tcPr>
          <w:p>
            <w:r>
              <w:t>Verify traceability</w:t>
            </w:r>
          </w:p>
        </w:tc>
      </w:tr>
      <w:tr>
        <w:tc>
          <w:tcPr>
            <w:tcW w:type="dxa" w:w="4968"/>
            <w:vAlign w:val="top"/>
          </w:tcPr>
          <w:p>
            <w:r>
              <w:t>Security test pass rate</w:t>
            </w:r>
          </w:p>
        </w:tc>
        <w:tc>
          <w:tcPr>
            <w:tcW w:type="dxa" w:w="4968"/>
            <w:vAlign w:val="top"/>
          </w:tcPr>
          <w:p>
            <w:r>
              <w:t>Release confidence</w:t>
            </w:r>
          </w:p>
        </w:tc>
      </w:tr>
    </w:tbl>
    <w:p>
      <w:pPr>
        <w:pStyle w:val="Heading1"/>
      </w:pPr>
      <w:r>
        <w:t>34. Definition of Done</w:t>
      </w:r>
    </w:p>
    <w:p>
      <w:pPr>
        <w:pStyle w:val="ListBullet"/>
      </w:pPr>
      <w:r>
        <w:t>Authentication and trusted identity context are established.</w:t>
      </w:r>
    </w:p>
    <w:p>
      <w:pPr>
        <w:pStyle w:val="ListBullet"/>
      </w:pPr>
      <w:r>
        <w:t>Tenant and company boundaries are enforced outside the LLM.</w:t>
      </w:r>
    </w:p>
    <w:p>
      <w:pPr>
        <w:pStyle w:val="ListBullet"/>
      </w:pPr>
      <w:r>
        <w:t>Role permissions are enforced by backend/tool services.</w:t>
      </w:r>
    </w:p>
    <w:p>
      <w:pPr>
        <w:pStyle w:val="ListBullet"/>
      </w:pPr>
      <w:r>
        <w:t>Sensitive data is minimised and appropriately protected.</w:t>
      </w:r>
    </w:p>
    <w:p>
      <w:pPr>
        <w:pStyle w:val="ListBullet"/>
      </w:pPr>
      <w:r>
        <w:t>High-risk actions have deterministic validation.</w:t>
      </w:r>
    </w:p>
    <w:p>
      <w:pPr>
        <w:pStyle w:val="ListBullet"/>
      </w:pPr>
      <w:r>
        <w:t>Configuration and prompts are versioned.</w:t>
      </w:r>
    </w:p>
    <w:p>
      <w:pPr>
        <w:pStyle w:val="ListBullet"/>
      </w:pPr>
      <w:r>
        <w:t>Important operations have appropriate audit records.</w:t>
      </w:r>
    </w:p>
    <w:p>
      <w:pPr>
        <w:pStyle w:val="ListBullet"/>
      </w:pPr>
      <w:r>
        <w:t>Security tests cover tenant, company, role, tool and prompt-injection risks.</w:t>
      </w:r>
    </w:p>
    <w:p>
      <w:pPr>
        <w:pStyle w:val="ListBullet"/>
      </w:pPr>
      <w:r>
        <w:t>Failure and incident paths are defined.</w:t>
      </w:r>
    </w:p>
    <w:p>
      <w:pPr>
        <w:pStyle w:val="ListBullet"/>
      </w:pPr>
      <w:r>
        <w:t>Backup, recovery and controlled service states are documented.</w:t>
      </w:r>
    </w:p>
    <w:p>
      <w:pPr>
        <w:pStyle w:val="Heading1"/>
      </w:pPr>
      <w:r>
        <w:t>35. Relationship to Documents 1–10</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rPr>
                <w:b/>
              </w:rPr>
              <w:t>Document</w:t>
            </w:r>
          </w:p>
        </w:tc>
        <w:tc>
          <w:tcPr>
            <w:tcW w:type="dxa" w:w="4968"/>
            <w:shd w:fill="EAF2F8"/>
            <w:vAlign w:val="center"/>
          </w:tcPr>
          <w:p>
            <w:r>
              <w:rPr>
                <w:b/>
              </w:rPr>
              <w:t>Purpose</w:t>
            </w:r>
          </w:p>
        </w:tc>
      </w:tr>
      <w:tr>
        <w:tc>
          <w:tcPr>
            <w:tcW w:type="dxa" w:w="4968"/>
            <w:vAlign w:val="top"/>
          </w:tcPr>
          <w:p>
            <w:r>
              <w:t>01</w:t>
            </w:r>
          </w:p>
        </w:tc>
        <w:tc>
          <w:tcPr>
            <w:tcW w:type="dxa" w:w="4968"/>
            <w:vAlign w:val="top"/>
          </w:tcPr>
          <w:p>
            <w:r>
              <w:t>Universal conversational contract</w:t>
            </w:r>
          </w:p>
        </w:tc>
      </w:tr>
      <w:tr>
        <w:tc>
          <w:tcPr>
            <w:tcW w:type="dxa" w:w="4968"/>
            <w:vAlign w:val="top"/>
          </w:tcPr>
          <w:p>
            <w:r>
              <w:t>02</w:t>
            </w:r>
          </w:p>
        </w:tc>
        <w:tc>
          <w:tcPr>
            <w:tcW w:type="dxa" w:w="4968"/>
            <w:vAlign w:val="top"/>
          </w:tcPr>
          <w:p>
            <w:r>
              <w:t>Response behaviour and voice</w:t>
            </w:r>
          </w:p>
        </w:tc>
      </w:tr>
      <w:tr>
        <w:tc>
          <w:tcPr>
            <w:tcW w:type="dxa" w:w="4968"/>
            <w:vAlign w:val="top"/>
          </w:tcPr>
          <w:p>
            <w:r>
              <w:t>03</w:t>
            </w:r>
          </w:p>
        </w:tc>
        <w:tc>
          <w:tcPr>
            <w:tcW w:type="dxa" w:w="4968"/>
            <w:vAlign w:val="top"/>
          </w:tcPr>
          <w:p>
            <w:r>
              <w:t>Intelligence and grounding</w:t>
            </w:r>
          </w:p>
        </w:tc>
      </w:tr>
      <w:tr>
        <w:tc>
          <w:tcPr>
            <w:tcW w:type="dxa" w:w="4968"/>
            <w:vAlign w:val="top"/>
          </w:tcPr>
          <w:p>
            <w:r>
              <w:t>04</w:t>
            </w:r>
          </w:p>
        </w:tc>
        <w:tc>
          <w:tcPr>
            <w:tcW w:type="dxa" w:w="4968"/>
            <w:vAlign w:val="top"/>
          </w:tcPr>
          <w:p>
            <w:r>
              <w:t>Prompt architecture</w:t>
            </w:r>
          </w:p>
        </w:tc>
      </w:tr>
      <w:tr>
        <w:tc>
          <w:tcPr>
            <w:tcW w:type="dxa" w:w="4968"/>
            <w:vAlign w:val="top"/>
          </w:tcPr>
          <w:p>
            <w:r>
              <w:t>05</w:t>
            </w:r>
          </w:p>
        </w:tc>
        <w:tc>
          <w:tcPr>
            <w:tcW w:type="dxa" w:w="4968"/>
            <w:vAlign w:val="top"/>
          </w:tcPr>
          <w:p>
            <w:r>
              <w:t>Evaluation and quality</w:t>
            </w:r>
          </w:p>
        </w:tc>
      </w:tr>
      <w:tr>
        <w:tc>
          <w:tcPr>
            <w:tcW w:type="dxa" w:w="4968"/>
            <w:vAlign w:val="top"/>
          </w:tcPr>
          <w:p>
            <w:r>
              <w:t>06</w:t>
            </w:r>
          </w:p>
        </w:tc>
        <w:tc>
          <w:tcPr>
            <w:tcW w:type="dxa" w:w="4968"/>
            <w:vAlign w:val="top"/>
          </w:tcPr>
          <w:p>
            <w:r>
              <w:t>Implementation architecture</w:t>
            </w:r>
          </w:p>
        </w:tc>
      </w:tr>
      <w:tr>
        <w:tc>
          <w:tcPr>
            <w:tcW w:type="dxa" w:w="4968"/>
            <w:vAlign w:val="top"/>
          </w:tcPr>
          <w:p>
            <w:r>
              <w:t>07</w:t>
            </w:r>
          </w:p>
        </w:tc>
        <w:tc>
          <w:tcPr>
            <w:tcW w:type="dxa" w:w="4968"/>
            <w:vAlign w:val="top"/>
          </w:tcPr>
          <w:p>
            <w:r>
              <w:t>Domain/client/company configuration</w:t>
            </w:r>
          </w:p>
        </w:tc>
      </w:tr>
      <w:tr>
        <w:tc>
          <w:tcPr>
            <w:tcW w:type="dxa" w:w="4968"/>
            <w:vAlign w:val="top"/>
          </w:tcPr>
          <w:p>
            <w:r>
              <w:t>08</w:t>
            </w:r>
          </w:p>
        </w:tc>
        <w:tc>
          <w:tcPr>
            <w:tcW w:type="dxa" w:w="4968"/>
            <w:vAlign w:val="top"/>
          </w:tcPr>
          <w:p>
            <w:r>
              <w:t>Data and knowledge architecture</w:t>
            </w:r>
          </w:p>
        </w:tc>
      </w:tr>
      <w:tr>
        <w:tc>
          <w:tcPr>
            <w:tcW w:type="dxa" w:w="4968"/>
            <w:vAlign w:val="top"/>
          </w:tcPr>
          <w:p>
            <w:r>
              <w:t>09</w:t>
            </w:r>
          </w:p>
        </w:tc>
        <w:tc>
          <w:tcPr>
            <w:tcW w:type="dxa" w:w="4968"/>
            <w:vAlign w:val="top"/>
          </w:tcPr>
          <w:p>
            <w:r>
              <w:t>Agent/tool/workflow architecture</w:t>
            </w:r>
          </w:p>
        </w:tc>
      </w:tr>
      <w:tr>
        <w:tc>
          <w:tcPr>
            <w:tcW w:type="dxa" w:w="4968"/>
            <w:vAlign w:val="top"/>
          </w:tcPr>
          <w:p>
            <w:r>
              <w:t>10</w:t>
            </w:r>
          </w:p>
        </w:tc>
        <w:tc>
          <w:tcPr>
            <w:tcW w:type="dxa" w:w="4968"/>
            <w:vAlign w:val="top"/>
          </w:tcPr>
          <w:p>
            <w:r>
              <w:t>Security, governance and audit</w:t>
            </w:r>
          </w:p>
        </w:tc>
      </w:tr>
    </w:tbl>
    <w:p>
      <w:pPr>
        <w:pStyle w:val="Heading1"/>
      </w:pPr>
      <w:r>
        <w:t>36. Closing Principle</w:t>
      </w:r>
    </w:p>
    <w:p>
      <w:pPr>
        <w:pStyle w:val="IntenseQuote"/>
      </w:pPr>
      <w:r>
        <w:t>Synbot should be conversationally intelligent, but operationally governed.</w:t>
      </w:r>
    </w:p>
    <w:p>
      <w:r>
        <w:t>The platform can remain natural and flexible at the conversational layer while being strict underneath: strict about identity, permissions, company boundaries, evidence, tools, configuration, audit and consequential actions. That separation is what allows Synbot to scale into serious enterprise environments without sacrificing the user experience that makes it feel like a capable member of the organisation.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Synbot • Security, Governance &amp; Audit Framework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