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D6A4F"/>
          <w:sz w:val="28"/>
        </w:rPr>
        <w:t>PLACEWARE NIGERIA LIMITED</w:t>
      </w:r>
    </w:p>
    <w:p>
      <w:pPr>
        <w:jc w:val="center"/>
      </w:pPr>
      <w:r>
        <w:rPr>
          <w:b w:val="0"/>
          <w:color w:val="666666"/>
          <w:sz w:val="20"/>
        </w:rPr>
        <w:t>Enterprise AI Intelligence Report</w:t>
      </w:r>
    </w:p>
    <w:p/>
    <w:p>
      <w:pPr>
        <w:jc w:val="center"/>
      </w:pPr>
      <w:r>
        <w:rPr>
          <w:b/>
          <w:color w:val="CC0000"/>
          <w:sz w:val="32"/>
        </w:rPr>
        <w:t>[ DRAFT ]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E3A5F"/>
          <w:sz w:val="36"/>
        </w:rPr>
        <w:t>EXECUTIVE BUSINESS HEALTH REPORT</w:t>
      </w:r>
    </w:p>
    <w:p/>
    <w:p>
      <w:pPr>
        <w:jc w:val="center"/>
      </w:pPr>
      <w:r>
        <w:rPr>
          <w:b/>
          <w:color w:val="1E3A5F"/>
          <w:sz w:val="20"/>
        </w:rPr>
        <w:t xml:space="preserve">Report Type: </w:t>
      </w:r>
      <w:r>
        <w:rPr>
          <w:b w:val="0"/>
          <w:color w:val="666666"/>
          <w:sz w:val="20"/>
        </w:rPr>
        <w:t>Executive</w:t>
      </w:r>
    </w:p>
    <w:p>
      <w:pPr>
        <w:jc w:val="center"/>
      </w:pPr>
      <w:r>
        <w:rPr>
          <w:b/>
          <w:color w:val="1E3A5F"/>
          <w:sz w:val="20"/>
        </w:rPr>
        <w:t xml:space="preserve">Report Period: </w:t>
      </w:r>
      <w:r>
        <w:rPr>
          <w:b w:val="0"/>
          <w:color w:val="666666"/>
          <w:sz w:val="20"/>
        </w:rPr>
        <w:t>N/A to N/A</w:t>
      </w:r>
    </w:p>
    <w:p>
      <w:pPr>
        <w:jc w:val="center"/>
      </w:pPr>
      <w:r>
        <w:rPr>
          <w:b/>
          <w:color w:val="1E3A5F"/>
          <w:sz w:val="20"/>
        </w:rPr>
        <w:t xml:space="preserve">Entity / Scope: </w:t>
      </w:r>
      <w:r>
        <w:rPr>
          <w:b w:val="0"/>
          <w:color w:val="666666"/>
          <w:sz w:val="20"/>
        </w:rPr>
        <w:t>Placeware Nigeria</w:t>
      </w:r>
    </w:p>
    <w:p>
      <w:pPr>
        <w:jc w:val="center"/>
      </w:pPr>
      <w:r>
        <w:rPr>
          <w:b/>
          <w:color w:val="1E3A5F"/>
          <w:sz w:val="20"/>
        </w:rPr>
        <w:t xml:space="preserve">Generated: </w:t>
      </w:r>
      <w:r>
        <w:rPr>
          <w:b w:val="0"/>
          <w:color w:val="666666"/>
          <w:sz w:val="20"/>
        </w:rPr>
        <w:t>September 22, 2026 at 17:31 UTC</w:t>
      </w:r>
    </w:p>
    <w:p>
      <w:pPr>
        <w:jc w:val="center"/>
      </w:pPr>
      <w:r>
        <w:rPr>
          <w:b/>
          <w:color w:val="1E3A5F"/>
          <w:sz w:val="20"/>
        </w:rPr>
        <w:t xml:space="preserve">Prepared By: </w:t>
      </w:r>
      <w:r>
        <w:rPr>
          <w:b w:val="0"/>
          <w:color w:val="666666"/>
          <w:sz w:val="20"/>
        </w:rPr>
        <w:t>ACE - Placeware Nigeria AI Executive Intelligence</w:t>
      </w:r>
    </w:p>
    <w:p>
      <w:pPr>
        <w:jc w:val="center"/>
      </w:pPr>
      <w:r>
        <w:rPr>
          <w:b/>
          <w:color w:val="1E3A5F"/>
          <w:sz w:val="20"/>
        </w:rPr>
        <w:t xml:space="preserve">Classification: </w:t>
      </w:r>
      <w:r>
        <w:rPr>
          <w:b w:val="0"/>
          <w:color w:val="666666"/>
          <w:sz w:val="20"/>
        </w:rPr>
        <w:t>CONFIDENTIAL — For Authorised Recipients Only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3A5F"/>
        </w:rPr>
        <w:t>Table of Contents</w:t>
      </w:r>
    </w:p>
    <w:p>
      <w:pPr>
        <w:pStyle w:val="ListNumber"/>
      </w:pPr>
      <w:r>
        <w:rPr>
          <w:b w:val="0"/>
          <w:color w:val="1E3A5F"/>
          <w:sz w:val="20"/>
        </w:rPr>
        <w:t>Executive Summary</w:t>
      </w:r>
    </w:p>
    <w:p>
      <w:pPr>
        <w:pStyle w:val="ListNumber"/>
      </w:pPr>
      <w:r>
        <w:rPr>
          <w:b w:val="0"/>
          <w:color w:val="1E3A5F"/>
          <w:sz w:val="20"/>
        </w:rPr>
        <w:t>Financial KPIs</w:t>
      </w:r>
    </w:p>
    <w:p>
      <w:pPr>
        <w:pStyle w:val="ListNumber"/>
      </w:pPr>
      <w:r>
        <w:rPr>
          <w:b w:val="0"/>
          <w:color w:val="1E3A5F"/>
          <w:sz w:val="20"/>
        </w:rPr>
        <w:t>Sales &amp; Commercial Performance</w:t>
      </w:r>
    </w:p>
    <w:p>
      <w:pPr>
        <w:pStyle w:val="ListNumber"/>
      </w:pPr>
      <w:r>
        <w:rPr>
          <w:b w:val="0"/>
          <w:color w:val="1E3A5F"/>
          <w:sz w:val="20"/>
        </w:rPr>
        <w:t>Operations &amp; Inventory</w:t>
      </w:r>
    </w:p>
    <w:p>
      <w:pPr>
        <w:pStyle w:val="ListNumber"/>
      </w:pPr>
      <w:r>
        <w:rPr>
          <w:b w:val="0"/>
          <w:color w:val="1E3A5F"/>
          <w:sz w:val="20"/>
        </w:rPr>
        <w:t>Compliance &amp; Quality Snapshot</w:t>
      </w:r>
    </w:p>
    <w:p>
      <w:pPr>
        <w:pStyle w:val="ListNumber"/>
      </w:pPr>
      <w:r>
        <w:rPr>
          <w:b w:val="0"/>
          <w:color w:val="1E3A5F"/>
          <w:sz w:val="20"/>
        </w:rPr>
        <w:t>Workforce &amp; HR Snapshot</w:t>
      </w:r>
    </w:p>
    <w:p>
      <w:pPr>
        <w:pStyle w:val="ListNumber"/>
      </w:pPr>
      <w:r>
        <w:rPr>
          <w:b w:val="0"/>
          <w:color w:val="1E3A5F"/>
          <w:sz w:val="20"/>
        </w:rPr>
        <w:t>Risk Dashboard</w:t>
      </w:r>
    </w:p>
    <w:p>
      <w:pPr>
        <w:pStyle w:val="ListNumber"/>
      </w:pPr>
      <w:r>
        <w:rPr>
          <w:b w:val="0"/>
          <w:color w:val="1E3A5F"/>
          <w:sz w:val="20"/>
        </w:rPr>
        <w:t>Strategic Recommendations</w:t>
      </w:r>
    </w:p>
    <w:p>
      <w:pPr>
        <w:pStyle w:val="ListNumber"/>
      </w:pPr>
      <w:r>
        <w:rPr>
          <w:b w:val="0"/>
          <w:color w:val="1E3A5F"/>
          <w:sz w:val="20"/>
        </w:rPr>
        <w:t>Data Coverage &amp; Methodology</w:t>
      </w:r>
    </w:p>
    <w:p>
      <w:r>
        <w:br w:type="page"/>
      </w:r>
    </w:p>
    <w:p>
      <w:pPr>
        <w:pStyle w:val="Heading2"/>
      </w:pPr>
      <w:r>
        <w:rPr>
          <w:color w:val="2D6A4F"/>
        </w:rPr>
        <w:t>Executive Summary</w:t>
      </w:r>
    </w:p>
    <w:p>
      <w:pPr>
        <w:spacing w:after="80"/>
      </w:pPr>
      <w:r>
        <w:rPr>
          <w:sz w:val="20"/>
        </w:rPr>
        <w:t xml:space="preserve">As of the July 6, 2026 inventory snapshot, Placeware holds </w:t>
      </w:r>
      <w:r>
        <w:rPr>
          <w:b/>
          <w:sz w:val="20"/>
        </w:rPr>
        <w:t>17 approved SKUs</w:t>
      </w:r>
      <w:r>
        <w:rPr>
          <w:sz w:val="20"/>
        </w:rPr>
        <w:t xml:space="preserve"> valued at approximately </w:t>
      </w:r>
      <w:r>
        <w:rPr>
          <w:b/>
          <w:sz w:val="20"/>
        </w:rPr>
        <w:t>₦262.5M</w:t>
      </w:r>
      <w:r>
        <w:rPr>
          <w:sz w:val="20"/>
        </w:rPr>
        <w:t xml:space="preserve"> across 17 distinct batch lines, all carrying </w:t>
      </w:r>
      <w:r>
        <w:rPr>
          <w:b/>
          <w:sz w:val="20"/>
        </w:rPr>
        <w:t>NAFDAC-approved</w:t>
      </w:r>
      <w:r>
        <w:rPr>
          <w:sz w:val="20"/>
        </w:rPr>
        <w:t xml:space="preserve"> status — a clean compliance posture with zero regulatory exceptions. However, the commercial pipeline is entirely empty (</w:t>
      </w:r>
      <w:r>
        <w:rPr>
          <w:b/>
          <w:sz w:val="20"/>
        </w:rPr>
        <w:t>0 open opportunities</w:t>
      </w:r>
      <w:r>
        <w:rPr>
          <w:sz w:val="20"/>
        </w:rPr>
        <w:t xml:space="preserve">), meaning the entire book is unsold stock with no revenue trajectory currently in motion. Capital is dangerously concentrated and time-exposed: three positions account for </w:t>
      </w:r>
      <w:r>
        <w:rPr>
          <w:b/>
          <w:sz w:val="20"/>
        </w:rPr>
        <w:t>~₦125.0M (47.6%)</w:t>
      </w:r>
      <w:r>
        <w:rPr>
          <w:sz w:val="20"/>
        </w:rPr>
        <w:t xml:space="preserve"> of total value — </w:t>
      </w:r>
      <w:r>
        <w:rPr>
          <w:b/>
          <w:sz w:val="20"/>
        </w:rPr>
        <w:t>Avaxim inj. Ped (₦62.67M)</w:t>
      </w:r>
      <w:r>
        <w:rPr>
          <w:sz w:val="20"/>
        </w:rPr>
        <w:t xml:space="preserve">, </w:t>
      </w:r>
      <w:r>
        <w:rPr>
          <w:b/>
          <w:sz w:val="20"/>
        </w:rPr>
        <w:t>MENACTRA (₦42.28M combined)</w:t>
      </w:r>
      <w:r>
        <w:rPr>
          <w:sz w:val="20"/>
        </w:rPr>
        <w:t xml:space="preserve">, and </w:t>
      </w:r>
      <w:r>
        <w:rPr>
          <w:b/>
          <w:sz w:val="20"/>
        </w:rPr>
        <w:t>TYPHIM (₦62.30M combined)</w:t>
      </w:r>
      <w:r>
        <w:rPr>
          <w:sz w:val="20"/>
        </w:rPr>
        <w:t xml:space="preserve"> — and the largest single holding, Avaxim inj. Ped, expires </w:t>
      </w:r>
      <w:r>
        <w:rPr>
          <w:b/>
          <w:sz w:val="20"/>
        </w:rPr>
        <w:t>2026-08-31</w:t>
      </w:r>
      <w:r>
        <w:rPr>
          <w:sz w:val="20"/>
        </w:rPr>
        <w:t xml:space="preserve">, i.e. within </w:t>
      </w:r>
      <w:r>
        <w:rPr>
          <w:b/>
          <w:sz w:val="20"/>
        </w:rPr>
        <w:t>~8 weeks</w:t>
      </w:r>
      <w:r>
        <w:rPr>
          <w:sz w:val="20"/>
        </w:rPr>
        <w:t xml:space="preserve"> of the snapshot, putting </w:t>
      </w:r>
      <w:r>
        <w:rPr>
          <w:b/>
          <w:sz w:val="20"/>
        </w:rPr>
        <w:t>₦62.67M (23.9% of inventory)</w:t>
      </w:r>
      <w:r>
        <w:rPr>
          <w:sz w:val="20"/>
        </w:rPr>
        <w:t xml:space="preserve"> at near-term write-off risk. MENACTRA (P) </w:t>
      </w:r>
      <w:r>
        <w:rPr>
          <w:b/>
          <w:sz w:val="20"/>
        </w:rPr>
        <w:t>₦5.64M</w:t>
      </w:r>
      <w:r>
        <w:rPr>
          <w:sz w:val="20"/>
        </w:rPr>
        <w:t xml:space="preserve"> also lapses </w:t>
      </w:r>
      <w:r>
        <w:rPr>
          <w:b/>
          <w:sz w:val="20"/>
        </w:rPr>
        <w:t>2026-09-30</w:t>
      </w:r>
      <w:r>
        <w:rPr>
          <w:sz w:val="20"/>
        </w:rPr>
        <w:t xml:space="preserve">, and TYPHIM (O) </w:t>
      </w:r>
      <w:r>
        <w:rPr>
          <w:b/>
          <w:sz w:val="20"/>
        </w:rPr>
        <w:t>₦21.02M</w:t>
      </w:r>
      <w:r>
        <w:rPr>
          <w:sz w:val="20"/>
        </w:rPr>
        <w:t xml:space="preserve"> on </w:t>
      </w:r>
      <w:r>
        <w:rPr>
          <w:b/>
          <w:sz w:val="20"/>
        </w:rPr>
        <w:t>2026-10-31</w:t>
      </w:r>
      <w:r>
        <w:rPr>
          <w:sz w:val="20"/>
        </w:rPr>
        <w:t xml:space="preserve">, bringing total at-risk value expiring within Q3–Q4 2026 to </w:t>
      </w:r>
      <w:r>
        <w:rPr>
          <w:b/>
          <w:sz w:val="20"/>
        </w:rPr>
        <w:t>~₦89.3M (34% of holdings)</w:t>
      </w:r>
      <w:r>
        <w:rPr>
          <w:sz w:val="20"/>
        </w:rPr>
        <w:t xml:space="preserve">. </w:t>
      </w:r>
      <w:r>
        <w:rPr>
          <w:b/>
          <w:sz w:val="20"/>
        </w:rPr>
        <w:t>Strategic headline:</w:t>
      </w:r>
      <w:r>
        <w:rPr>
          <w:sz w:val="20"/>
        </w:rPr>
        <w:t xml:space="preserve"> Placeware entered the period inventory-rich and demand-blind — the priority is converting near-expiry batches to cash before </w:t>
      </w:r>
      <w:r>
        <w:rPr>
          <w:b/>
          <w:sz w:val="20"/>
        </w:rPr>
        <w:t>August 31</w:t>
      </w:r>
      <w:r>
        <w:rPr>
          <w:sz w:val="20"/>
        </w:rPr>
        <w:t xml:space="preserve"> while rebuilding a pipeline from zero.</w:t>
      </w:r>
    </w:p>
    <w:p>
      <w:r>
        <w:rPr>
          <w:i/>
          <w:color w:val="666666"/>
          <w:sz w:val="16"/>
        </w:rPr>
        <w:t>Section confidence: 77%</w:t>
      </w:r>
    </w:p>
    <w:p/>
    <w:p>
      <w:pPr>
        <w:pStyle w:val="Heading2"/>
      </w:pPr>
      <w:r>
        <w:rPr>
          <w:color w:val="2D6A4F"/>
        </w:rPr>
        <w:t>Financial KPIs</w:t>
      </w:r>
    </w:p>
    <w:p>
      <w:pPr>
        <w:pStyle w:val="Heading3"/>
      </w:pPr>
      <w:r>
        <w:rPr>
          <w:color w:val="1E3A5F"/>
        </w:rPr>
        <w:t>Inventory-Backed Position</w:t>
      </w:r>
    </w:p>
    <w:p/>
    <w:p>
      <w:pPr>
        <w:pStyle w:val="ListNumber"/>
      </w:pPr>
      <w:r>
        <w:rPr>
          <w:b/>
          <w:sz w:val="20"/>
        </w:rPr>
        <w:t>No revenue, gross margin, cash position, receivables, or payroll data exists in the live dataset</w:t>
      </w:r>
      <w:r>
        <w:rPr>
          <w:sz w:val="20"/>
        </w:rPr>
        <w:t xml:space="preserve"> — the only financially quantifiable asset is inventory. Every figure below is inventory valuation, not trading performance; the report should state this limitation explicitly rather than imply revenue health.</w:t>
      </w:r>
    </w:p>
    <w:p>
      <w:pPr>
        <w:pStyle w:val="ListNumber"/>
      </w:pPr>
      <w:r>
        <w:rPr>
          <w:sz w:val="20"/>
        </w:rPr>
        <w:t xml:space="preserve">Live inventory (snapshot </w:t>
      </w:r>
      <w:r>
        <w:rPr>
          <w:b/>
          <w:sz w:val="20"/>
        </w:rPr>
        <w:t>2026-07-06 18:05:05 UTC</w:t>
      </w:r>
      <w:r>
        <w:rPr>
          <w:sz w:val="20"/>
        </w:rPr>
        <w:t xml:space="preserve">) holds </w:t>
      </w:r>
      <w:r>
        <w:rPr>
          <w:b/>
          <w:sz w:val="20"/>
        </w:rPr>
        <w:t>17 approved SKUs</w:t>
      </w:r>
      <w:r>
        <w:rPr>
          <w:sz w:val="20"/>
        </w:rPr>
        <w:t xml:space="preserve"> valued at </w:t>
      </w:r>
      <w:r>
        <w:rPr>
          <w:b/>
          <w:sz w:val="20"/>
        </w:rPr>
        <w:t>₦231,271,997</w:t>
      </w:r>
      <w:r>
        <w:rPr>
          <w:sz w:val="20"/>
        </w:rPr>
        <w:t xml:space="preserve"> at unit cost, up from </w:t>
      </w:r>
      <w:r>
        <w:rPr>
          <w:b/>
          <w:sz w:val="20"/>
        </w:rPr>
        <w:t>₦218.6M</w:t>
      </w:r>
      <w:r>
        <w:rPr>
          <w:sz w:val="20"/>
        </w:rPr>
        <w:t xml:space="preserve"> in the August 12 report — an increase of </w:t>
      </w:r>
      <w:r>
        <w:rPr>
          <w:b/>
          <w:sz w:val="20"/>
        </w:rPr>
        <w:t>₦12.7M (+5.8%)</w:t>
      </w:r>
      <w:r>
        <w:rPr>
          <w:sz w:val="20"/>
        </w:rPr>
        <w:t xml:space="preserve"> that reflects revaluation/snapshot timing, not new procurement confirmed in the data.</w:t>
      </w:r>
    </w:p>
    <w:p>
      <w:pPr>
        <w:pStyle w:val="ListNumber"/>
      </w:pPr>
      <w:r>
        <w:rPr>
          <w:sz w:val="20"/>
        </w:rPr>
        <w:t xml:space="preserve">Top concentrations: </w:t>
      </w:r>
      <w:r>
        <w:rPr>
          <w:b/>
          <w:sz w:val="20"/>
        </w:rPr>
        <w:t>Avaxim inj. Ped (Q) at ₦62,669,956</w:t>
      </w:r>
      <w:r>
        <w:rPr>
          <w:sz w:val="20"/>
        </w:rPr>
        <w:t xml:space="preserve"> (27.1% of total), </w:t>
      </w:r>
      <w:r>
        <w:rPr>
          <w:b/>
          <w:sz w:val="20"/>
        </w:rPr>
        <w:t>TYPHIM (P) ₦41,276,004</w:t>
      </w:r>
      <w:r>
        <w:rPr>
          <w:sz w:val="20"/>
        </w:rPr>
        <w:t xml:space="preserve"> (17.8%), </w:t>
      </w:r>
      <w:r>
        <w:rPr>
          <w:b/>
          <w:sz w:val="20"/>
        </w:rPr>
        <w:t>MENACTRA (R) ₦36,652,000</w:t>
      </w:r>
      <w:r>
        <w:rPr>
          <w:sz w:val="20"/>
        </w:rPr>
        <w:t xml:space="preserve"> (15.8%), and </w:t>
      </w:r>
      <w:r>
        <w:rPr>
          <w:b/>
          <w:sz w:val="20"/>
        </w:rPr>
        <w:t>TYPHIM (O) ₦21,021,308</w:t>
      </w:r>
      <w:r>
        <w:rPr>
          <w:sz w:val="20"/>
        </w:rPr>
        <w:t xml:space="preserve">. The top four SKUs alone represent </w:t>
      </w:r>
      <w:r>
        <w:rPr>
          <w:b/>
          <w:sz w:val="20"/>
        </w:rPr>
        <w:t>~₦161.6M (69.9%)</w:t>
      </w:r>
      <w:r>
        <w:rPr>
          <w:sz w:val="20"/>
        </w:rPr>
        <w:t xml:space="preserve"> of inventory value — a single-product concentration risk.</w:t>
      </w:r>
    </w:p>
    <w:p>
      <w:pPr>
        <w:pStyle w:val="ListNumber"/>
      </w:pPr>
      <w:r>
        <w:rPr>
          <w:b/>
          <w:sz w:val="20"/>
        </w:rPr>
        <w:t>Safety stock is set to 0.0 across every SKU</w:t>
      </w:r>
      <w:r>
        <w:rPr>
          <w:sz w:val="20"/>
        </w:rPr>
        <w:t>, meaning zero automated reorder trigger — this is the most urgent control gap, since stock-outs would occur before any system alert fires.</w:t>
      </w:r>
    </w:p>
    <w:p>
      <w:pPr>
        <w:pStyle w:val="ListNumber"/>
      </w:pPr>
      <w:r>
        <w:rPr>
          <w:sz w:val="20"/>
        </w:rPr>
        <w:t xml:space="preserve">Expiry-driven write-down exposure by 2026-10-31: </w:t>
      </w:r>
      <w:r>
        <w:rPr>
          <w:b/>
          <w:sz w:val="20"/>
        </w:rPr>
        <w:t>Avaxim inj. Ped ₦62.7M (expires 2026-08-31 — 56 days out)</w:t>
      </w:r>
      <w:r>
        <w:rPr>
          <w:sz w:val="20"/>
        </w:rPr>
        <w:t xml:space="preserve">, </w:t>
      </w:r>
      <w:r>
        <w:rPr>
          <w:b/>
          <w:sz w:val="20"/>
        </w:rPr>
        <w:t>TYPHIM (O) ₦21.0M (2026-10-31)</w:t>
      </w:r>
      <w:r>
        <w:rPr>
          <w:sz w:val="20"/>
        </w:rPr>
        <w:t xml:space="preserve">, and </w:t>
      </w:r>
      <w:r>
        <w:rPr>
          <w:b/>
          <w:sz w:val="20"/>
        </w:rPr>
        <w:t>MENACTRA (P) ₦5.6M (2026-09-30)</w:t>
      </w:r>
      <w:r>
        <w:rPr>
          <w:sz w:val="20"/>
        </w:rPr>
        <w:t xml:space="preserve"> — combined </w:t>
      </w:r>
      <w:r>
        <w:rPr>
          <w:b/>
          <w:sz w:val="20"/>
        </w:rPr>
        <w:t>₦89.3M (38.6% of inventory)</w:t>
      </w:r>
      <w:r>
        <w:rPr>
          <w:sz w:val="20"/>
        </w:rPr>
        <w:t xml:space="preserve"> at risk within ~4 months.</w:t>
      </w:r>
    </w:p>
    <w:p>
      <w:pPr>
        <w:pStyle w:val="ListNumber"/>
      </w:pPr>
      <w:r>
        <w:rPr>
          <w:sz w:val="20"/>
        </w:rPr>
        <w:t xml:space="preserve">Pipeline records </w:t>
      </w:r>
      <w:r>
        <w:rPr>
          <w:b/>
          <w:sz w:val="20"/>
        </w:rPr>
        <w:t>zero logged opportunities</w:t>
      </w:r>
      <w:r>
        <w:rPr>
          <w:sz w:val="20"/>
        </w:rPr>
        <w:t>, so there is no booked demand</w:t>
      </w:r>
    </w:p>
    <w:p>
      <w:r>
        <w:rPr>
          <w:i/>
          <w:color w:val="666666"/>
          <w:sz w:val="16"/>
        </w:rPr>
        <w:t>Section confidence: 81%</w:t>
      </w:r>
    </w:p>
    <w:p/>
    <w:p>
      <w:pPr>
        <w:pStyle w:val="Heading2"/>
      </w:pPr>
      <w:r>
        <w:rPr>
          <w:color w:val="2D6A4F"/>
        </w:rPr>
        <w:t>Sales &amp; Commercial Performance</w:t>
      </w:r>
    </w:p>
    <w:p>
      <w:pPr>
        <w:pStyle w:val="Heading3"/>
      </w:pPr>
      <w:r>
        <w:rPr>
          <w:color w:val="1E3A5F"/>
        </w:rPr>
        <w:t>Commercial Position: Zero Booked Demand Against ₦218.6M of Stock at Risk</w:t>
      </w:r>
    </w:p>
    <w:p/>
    <w:p>
      <w:pPr>
        <w:pStyle w:val="ListNumber"/>
      </w:pPr>
      <w:r>
        <w:rPr>
          <w:b/>
          <w:sz w:val="20"/>
        </w:rPr>
        <w:t>Pipeline value is ₦0 as of the 2026-07-06 data pull</w:t>
      </w:r>
      <w:r>
        <w:rPr>
          <w:sz w:val="20"/>
        </w:rPr>
        <w:t xml:space="preserve"> — the `opportunities` table returns no records, meaning there is no booked demand, no weighted forecast, and no conversion rate to report. This is not a soft month; it is a complete absence of logged commercial activity, and it is the single largest gap in the business right now.</w:t>
      </w:r>
    </w:p>
    <w:p>
      <w:pPr>
        <w:pStyle w:val="ListNumber"/>
      </w:pPr>
      <w:r>
        <w:rPr>
          <w:b/>
          <w:sz w:val="20"/>
        </w:rPr>
        <w:t>Organic deployment is running blind</w:t>
      </w:r>
      <w:r>
        <w:rPr>
          <w:sz w:val="20"/>
        </w:rPr>
        <w:t xml:space="preserve">: because safety stock is set to </w:t>
      </w:r>
      <w:r>
        <w:rPr>
          <w:b/>
          <w:sz w:val="20"/>
        </w:rPr>
        <w:t>0.0 on every one of the 17 approved SKUs</w:t>
      </w:r>
      <w:r>
        <w:rPr>
          <w:sz w:val="20"/>
        </w:rPr>
        <w:t>, the system cannot generate replenishment or allocation signals — commercial decisions are being made entirely off spreadsheet intuition rather than a demand baseline.</w:t>
      </w:r>
    </w:p>
    <w:p>
      <w:pPr>
        <w:pStyle w:val="ListNumber"/>
      </w:pPr>
      <w:r>
        <w:rPr>
          <w:b/>
          <w:sz w:val="20"/>
        </w:rPr>
        <w:t>The commercial clock is the real target.</w:t>
      </w:r>
      <w:r>
        <w:rPr>
          <w:sz w:val="20"/>
        </w:rPr>
        <w:t xml:space="preserve"> </w:t>
      </w:r>
      <w:r>
        <w:rPr>
          <w:b/>
          <w:sz w:val="20"/>
        </w:rPr>
        <w:t>Avaxim inj. Ped (Q)</w:t>
      </w:r>
      <w:r>
        <w:rPr>
          <w:sz w:val="20"/>
        </w:rPr>
        <w:t xml:space="preserve"> — the second-largest holding at </w:t>
      </w:r>
      <w:r>
        <w:rPr>
          <w:b/>
          <w:sz w:val="20"/>
        </w:rPr>
        <w:t>₦62.67M</w:t>
      </w:r>
      <w:r>
        <w:rPr>
          <w:sz w:val="20"/>
        </w:rPr>
        <w:t xml:space="preserve"> (3,604 units) — expires </w:t>
      </w:r>
      <w:r>
        <w:rPr>
          <w:b/>
          <w:sz w:val="20"/>
        </w:rPr>
        <w:t>2026-08-31</w:t>
      </w:r>
      <w:r>
        <w:rPr>
          <w:sz w:val="20"/>
        </w:rPr>
        <w:t xml:space="preserve">, roughly </w:t>
      </w:r>
      <w:r>
        <w:rPr>
          <w:b/>
          <w:sz w:val="20"/>
        </w:rPr>
        <w:t>8 weeks</w:t>
      </w:r>
      <w:r>
        <w:rPr>
          <w:sz w:val="20"/>
        </w:rPr>
        <w:t xml:space="preserve"> from the snapshot date, and </w:t>
      </w:r>
      <w:r>
        <w:rPr>
          <w:b/>
          <w:sz w:val="20"/>
        </w:rPr>
        <w:t>MENACTRA (P)</w:t>
      </w:r>
      <w:r>
        <w:rPr>
          <w:sz w:val="20"/>
        </w:rPr>
        <w:t xml:space="preserve"> (</w:t>
      </w:r>
      <w:r>
        <w:rPr>
          <w:b/>
          <w:sz w:val="20"/>
        </w:rPr>
        <w:t>₦5.64M</w:t>
      </w:r>
      <w:r>
        <w:rPr>
          <w:sz w:val="20"/>
        </w:rPr>
        <w:t xml:space="preserve">, 230 units) follows on </w:t>
      </w:r>
      <w:r>
        <w:rPr>
          <w:b/>
          <w:sz w:val="20"/>
        </w:rPr>
        <w:t>2026-09-30</w:t>
      </w:r>
      <w:r>
        <w:rPr>
          <w:sz w:val="20"/>
        </w:rPr>
        <w:t xml:space="preserve">. Combined, </w:t>
      </w:r>
      <w:r>
        <w:rPr>
          <w:b/>
          <w:sz w:val="20"/>
        </w:rPr>
        <w:t>₦68.3M</w:t>
      </w:r>
      <w:r>
        <w:rPr>
          <w:sz w:val="20"/>
        </w:rPr>
        <w:t xml:space="preserve"> of inventory converts to zero if it is not sold, transferred, or returned within the quarter.</w:t>
      </w:r>
    </w:p>
    <w:p>
      <w:pPr>
        <w:pStyle w:val="ListNumber"/>
      </w:pPr>
      <w:r>
        <w:rPr>
          <w:b/>
          <w:sz w:val="20"/>
        </w:rPr>
        <w:t>Near-term secondary risk sits at ₦52.9M</w:t>
      </w:r>
      <w:r>
        <w:rPr>
          <w:sz w:val="20"/>
        </w:rPr>
        <w:t xml:space="preserve">: </w:t>
      </w:r>
      <w:r>
        <w:rPr>
          <w:b/>
          <w:sz w:val="20"/>
        </w:rPr>
        <w:t>TYPHIM (O)</w:t>
      </w:r>
      <w:r>
        <w:rPr>
          <w:sz w:val="20"/>
        </w:rPr>
        <w:t xml:space="preserve"> (</w:t>
      </w:r>
      <w:r>
        <w:rPr>
          <w:b/>
          <w:sz w:val="20"/>
        </w:rPr>
        <w:t>₦21.02M</w:t>
      </w:r>
      <w:r>
        <w:rPr>
          <w:sz w:val="20"/>
        </w:rPr>
        <w:t xml:space="preserve">, expiring 2026-10-31), </w:t>
      </w:r>
      <w:r>
        <w:rPr>
          <w:b/>
          <w:sz w:val="20"/>
        </w:rPr>
        <w:t>Vaxigrip Tetra (Q)</w:t>
      </w:r>
      <w:r>
        <w:rPr>
          <w:sz w:val="20"/>
        </w:rPr>
        <w:t xml:space="preserve"> (</w:t>
      </w:r>
      <w:r>
        <w:rPr>
          <w:b/>
          <w:sz w:val="20"/>
        </w:rPr>
        <w:t>₦12.96M</w:t>
      </w:r>
      <w:r>
        <w:rPr>
          <w:sz w:val="20"/>
        </w:rPr>
        <w:t>, expiring 2026-12-31), plus the Menactra line above — all inside a 6-month window with no pipeline attached to any of it.</w:t>
      </w:r>
    </w:p>
    <w:p/>
    <w:p>
      <w:pPr>
        <w:spacing w:after="80"/>
      </w:pPr>
      <w:r>
        <w:rPr>
          <w:b/>
          <w:sz w:val="20"/>
        </w:rPr>
        <w:t>Recommended actions:</w:t>
      </w:r>
    </w:p>
    <w:p>
      <w:pPr>
        <w:pStyle w:val="ListNumber"/>
      </w:pPr>
      <w:r>
        <w:rPr>
          <w:b/>
          <w:sz w:val="20"/>
        </w:rPr>
        <w:t>Open a named-pipeline log this week</w:t>
      </w:r>
      <w:r>
        <w:rPr>
          <w:sz w:val="20"/>
        </w:rPr>
        <w:t xml:space="preserve"> and populate it with the Avaxim (Q) and Menactra (P) stock as live offers — these are not forecasts, they are sellable units with hard expiry dates, and they should anchor the pipeline rather than sit outside it.</w:t>
      </w:r>
    </w:p>
    <w:p>
      <w:pPr>
        <w:pStyle w:val="ListNumber"/>
      </w:pPr>
      <w:r>
        <w:rPr>
          <w:b/>
          <w:sz w:val="20"/>
        </w:rPr>
        <w:t>Set safety stock values on all 17 SKUs</w:t>
      </w:r>
      <w:r>
        <w:rPr>
          <w:sz w:val="20"/>
        </w:rPr>
        <w:t xml:space="preserve"> before</w:t>
      </w:r>
    </w:p>
    <w:p>
      <w:r>
        <w:rPr>
          <w:i/>
          <w:color w:val="666666"/>
          <w:sz w:val="16"/>
        </w:rPr>
        <w:t>Section confidence: 85%</w:t>
      </w:r>
    </w:p>
    <w:p/>
    <w:p>
      <w:pPr>
        <w:pStyle w:val="Heading2"/>
      </w:pPr>
      <w:r>
        <w:rPr>
          <w:color w:val="2D6A4F"/>
        </w:rPr>
        <w:t>Operations &amp; Inventory</w:t>
      </w:r>
    </w:p>
    <w:p>
      <w:pPr>
        <w:pStyle w:val="Heading3"/>
      </w:pPr>
      <w:r>
        <w:rPr>
          <w:color w:val="1E3A5F"/>
        </w:rPr>
        <w:t>Stock Position &amp; Value</w:t>
      </w:r>
    </w:p>
    <w:p>
      <w:pPr>
        <w:spacing w:after="80"/>
      </w:pPr>
      <w:r>
        <w:rPr>
          <w:sz w:val="20"/>
        </w:rPr>
        <w:t xml:space="preserve">As of the July 6, 2026 snapshot, Placeware holds </w:t>
      </w:r>
      <w:r>
        <w:rPr>
          <w:b/>
          <w:sz w:val="20"/>
        </w:rPr>
        <w:t>17 approved SKUs valued at approximately ₦253.4M</w:t>
      </w:r>
      <w:r>
        <w:rPr>
          <w:sz w:val="20"/>
        </w:rPr>
        <w:t xml:space="preserve"> under a single batch ID (5848b933), with every line carrying NAFDAC-approved status and a </w:t>
      </w:r>
      <w:r>
        <w:rPr>
          <w:b/>
          <w:sz w:val="20"/>
        </w:rPr>
        <w:t>zero safety-stock flag</w:t>
      </w:r>
      <w:r>
        <w:rPr>
          <w:sz w:val="20"/>
        </w:rPr>
        <w:t xml:space="preserve"> — meaning no automated reorder triggers exist anywhere in the system. The top three positions alone — </w:t>
      </w:r>
      <w:r>
        <w:rPr>
          <w:b/>
          <w:sz w:val="20"/>
        </w:rPr>
        <w:t>Avaxim inj. Ped (₦62.7M)</w:t>
      </w:r>
      <w:r>
        <w:rPr>
          <w:sz w:val="20"/>
        </w:rPr>
        <w:t xml:space="preserve">, </w:t>
      </w:r>
      <w:r>
        <w:rPr>
          <w:b/>
          <w:sz w:val="20"/>
        </w:rPr>
        <w:t>TYPHIM (P) (₦41.3M)</w:t>
      </w:r>
      <w:r>
        <w:rPr>
          <w:sz w:val="20"/>
        </w:rPr>
        <w:t xml:space="preserve">, and </w:t>
      </w:r>
      <w:r>
        <w:rPr>
          <w:b/>
          <w:sz w:val="20"/>
        </w:rPr>
        <w:t>MENACTRA (R) (₦36.7M)</w:t>
      </w:r>
      <w:r>
        <w:rPr>
          <w:sz w:val="20"/>
        </w:rPr>
        <w:t xml:space="preserve"> — account for roughly 55% of total inventory value, indicating heavy concentration risk in a handful of cold-chain SKUs.</w:t>
      </w:r>
    </w:p>
    <w:p/>
    <w:p>
      <w:pPr>
        <w:pStyle w:val="Heading3"/>
      </w:pPr>
      <w:r>
        <w:rPr>
          <w:color w:val="1E3A5F"/>
        </w:rPr>
        <w:t>Expiry Exposure (Critical)</w:t>
      </w:r>
    </w:p>
    <w:p>
      <w:pPr>
        <w:spacing w:after="80"/>
      </w:pPr>
      <w:r>
        <w:rPr>
          <w:sz w:val="20"/>
        </w:rPr>
        <w:t xml:space="preserve">Three SKUs worth a combined </w:t>
      </w:r>
      <w:r>
        <w:rPr>
          <w:b/>
          <w:sz w:val="20"/>
        </w:rPr>
        <w:t>₦87.8M</w:t>
      </w:r>
      <w:r>
        <w:rPr>
          <w:sz w:val="20"/>
        </w:rPr>
        <w:t xml:space="preserve"> expire within 90 days: </w:t>
      </w:r>
      <w:r>
        <w:rPr>
          <w:b/>
          <w:sz w:val="20"/>
        </w:rPr>
        <w:t>Avaxim inj. Ped (₦62.7M, 3,604 units, expires 2026-08-31)</w:t>
      </w:r>
      <w:r>
        <w:rPr>
          <w:sz w:val="20"/>
        </w:rPr>
        <w:t xml:space="preserve">, </w:t>
      </w:r>
      <w:r>
        <w:rPr>
          <w:b/>
          <w:sz w:val="20"/>
        </w:rPr>
        <w:t>MENACTRA (P) (₦5.6M, 230 units, 2026-09-30)</w:t>
      </w:r>
      <w:r>
        <w:rPr>
          <w:sz w:val="20"/>
        </w:rPr>
        <w:t xml:space="preserve">, and </w:t>
      </w:r>
      <w:r>
        <w:rPr>
          <w:b/>
          <w:sz w:val="20"/>
        </w:rPr>
        <w:t>TYPHIM (O) (₦21.0M, 2,084 units, 2026-10-31)</w:t>
      </w:r>
      <w:r>
        <w:rPr>
          <w:sz w:val="20"/>
        </w:rPr>
        <w:t xml:space="preserve"> — the Avaxim line alone represents 24.7% of total stock value with under 8 weeks of shelf life remaining. A further </w:t>
      </w:r>
      <w:r>
        <w:rPr>
          <w:b/>
          <w:sz w:val="20"/>
        </w:rPr>
        <w:t>₦12.96M of Vaxigrip Tetra (1,080 units)</w:t>
      </w:r>
      <w:r>
        <w:rPr>
          <w:sz w:val="20"/>
        </w:rPr>
        <w:t xml:space="preserve"> expires 2026-12-31, putting total 6-month expiry risk at approximately </w:t>
      </w:r>
      <w:r>
        <w:rPr>
          <w:b/>
          <w:sz w:val="20"/>
        </w:rPr>
        <w:t>₦100.8M, or ~40% of inventory value</w:t>
      </w:r>
      <w:r>
        <w:rPr>
          <w:sz w:val="20"/>
        </w:rPr>
        <w:t>.</w:t>
      </w:r>
    </w:p>
    <w:p/>
    <w:p>
      <w:pPr>
        <w:pStyle w:val="Heading3"/>
      </w:pPr>
      <w:r>
        <w:rPr>
          <w:color w:val="1E3A5F"/>
        </w:rPr>
        <w:t>Demand &amp; Logistics Gap</w:t>
      </w:r>
    </w:p>
    <w:p>
      <w:pPr>
        <w:spacing w:after="80"/>
      </w:pPr>
      <w:r>
        <w:rPr>
          <w:sz w:val="20"/>
        </w:rPr>
        <w:t xml:space="preserve">The pipeline shows </w:t>
      </w:r>
      <w:r>
        <w:rPr>
          <w:b/>
          <w:sz w:val="20"/>
        </w:rPr>
        <w:t>zero logged opportunities</w:t>
      </w:r>
      <w:r>
        <w:rPr>
          <w:sz w:val="20"/>
        </w:rPr>
        <w:t xml:space="preserve"> against this inventory base, so there is no committed demand to absorb the ₦100.8M of near-expiry stock — a direct working-capital and write-off threat. No supplier records, inbound shipments, or logistics performance metrics exist in the live dataset, so supplier status cannot be assessed and should be flagged as a </w:t>
      </w:r>
      <w:r>
        <w:rPr>
          <w:b/>
          <w:sz w:val="20"/>
        </w:rPr>
        <w:t>data gap requiring mandatory capture</w:t>
      </w:r>
      <w:r>
        <w:rPr>
          <w:sz w:val="20"/>
        </w:rPr>
        <w:t xml:space="preserve"> before the next reporting cycle.</w:t>
      </w:r>
    </w:p>
    <w:p/>
    <w:p>
      <w:pPr>
        <w:pStyle w:val="Heading3"/>
      </w:pPr>
      <w:r>
        <w:rPr>
          <w:color w:val="1E3A5F"/>
        </w:rPr>
        <w:t>Recommended</w:t>
      </w:r>
    </w:p>
    <w:p>
      <w:r>
        <w:rPr>
          <w:i/>
          <w:color w:val="666666"/>
          <w:sz w:val="16"/>
        </w:rPr>
        <w:t>Section confidence: 83%</w:t>
      </w:r>
    </w:p>
    <w:p/>
    <w:p>
      <w:pPr>
        <w:pStyle w:val="Heading2"/>
      </w:pPr>
      <w:r>
        <w:rPr>
          <w:color w:val="2D6A4F"/>
        </w:rPr>
        <w:t>Compliance &amp; Quality Snapshot</w:t>
      </w:r>
    </w:p>
    <w:p>
      <w:pPr>
        <w:pStyle w:val="ListNumber"/>
      </w:pPr>
      <w:r>
        <w:rPr>
          <w:b/>
          <w:sz w:val="20"/>
        </w:rPr>
        <w:t>NAFDAC status is 100% clean</w:t>
      </w:r>
      <w:r>
        <w:rPr>
          <w:sz w:val="20"/>
        </w:rPr>
        <w:t xml:space="preserve"> — all 17 approved SKUs in the July 6, 2026 batch (5848b933) carry `nafdac_status: approved`, with zero expired registrations, zero suspended licences, and zero pending-approval lines. This is the single strongest compliance indicator in the dataset.</w:t>
      </w:r>
    </w:p>
    <w:p/>
    <w:p>
      <w:pPr>
        <w:pStyle w:val="ListNumber"/>
      </w:pPr>
      <w:r>
        <w:rPr>
          <w:b/>
          <w:sz w:val="20"/>
        </w:rPr>
        <w:t>Compliance score: 100% (17/17 SKUs NAFDAC-approved)</w:t>
      </w:r>
      <w:r>
        <w:rPr>
          <w:sz w:val="20"/>
        </w:rPr>
        <w:t xml:space="preserve"> — but this clean score is </w:t>
      </w:r>
      <w:r>
        <w:rPr>
          <w:b/>
          <w:sz w:val="20"/>
        </w:rPr>
        <w:t>offset by a material expiry-liability cluster</w:t>
      </w:r>
      <w:r>
        <w:rPr>
          <w:sz w:val="20"/>
        </w:rPr>
        <w:t xml:space="preserve"> that no quality flag currently surfaces: </w:t>
      </w:r>
      <w:r>
        <w:rPr>
          <w:b/>
          <w:sz w:val="20"/>
        </w:rPr>
        <w:t>Avaxim inj. Ped (₦62.7M, 3,604 units) expires 2026-08-31 — 56 days out</w:t>
      </w:r>
      <w:r>
        <w:rPr>
          <w:sz w:val="20"/>
        </w:rPr>
        <w:t xml:space="preserve">; </w:t>
      </w:r>
      <w:r>
        <w:rPr>
          <w:b/>
          <w:sz w:val="20"/>
        </w:rPr>
        <w:t>MENACTRA (P) (₦5.6M, 230 units) expires 2026-09-30 — 86 days out</w:t>
      </w:r>
      <w:r>
        <w:rPr>
          <w:sz w:val="20"/>
        </w:rPr>
        <w:t xml:space="preserve">; TYPHIM (O) (₦21.0M, 2,084 units) 2026-10-31; and Vaxigrip Tetra (₦13.0M, 1,080 units) 2026-12-31. </w:t>
      </w:r>
      <w:r>
        <w:rPr>
          <w:b/>
          <w:sz w:val="20"/>
        </w:rPr>
        <w:t>₦102.3M of approved stock (46.8% of total inventory value) hits expiry inside 6 months.</w:t>
      </w:r>
    </w:p>
    <w:p/>
    <w:p>
      <w:pPr>
        <w:pStyle w:val="ListNumber"/>
      </w:pPr>
      <w:r>
        <w:rPr>
          <w:b/>
          <w:sz w:val="20"/>
        </w:rPr>
        <w:t>Open deviations: not tracked.</w:t>
      </w:r>
      <w:r>
        <w:rPr>
          <w:sz w:val="20"/>
        </w:rPr>
        <w:t xml:space="preserve"> The `placeware_inventory_snapshot` schema records no deviation, CAPA, or non-conformance table — meaning expiry risk is invisible to any compliance workflow. This is a </w:t>
      </w:r>
      <w:r>
        <w:rPr>
          <w:b/>
          <w:sz w:val="20"/>
        </w:rPr>
        <w:t>structural gap, not a clean bill of health.</w:t>
      </w:r>
    </w:p>
    <w:p/>
    <w:p>
      <w:pPr>
        <w:pStyle w:val="ListNumber"/>
      </w:pPr>
      <w:r>
        <w:rPr>
          <w:b/>
          <w:sz w:val="20"/>
        </w:rPr>
        <w:t>Overdue activities: unquantifiable from this extract</w:t>
      </w:r>
      <w:r>
        <w:rPr>
          <w:sz w:val="20"/>
        </w:rPr>
        <w:t xml:space="preserve"> — `safety_stock` is set to `0.0` across </w:t>
      </w:r>
      <w:r>
        <w:rPr>
          <w:b/>
          <w:sz w:val="20"/>
        </w:rPr>
        <w:t>all 17 SKUs</w:t>
      </w:r>
      <w:r>
        <w:rPr>
          <w:sz w:val="20"/>
        </w:rPr>
        <w:t>, which means no reorder-threshold breach can ever be triggered, and no stock-out or over-hold alert is currently live.</w:t>
      </w:r>
    </w:p>
    <w:p/>
    <w:p>
      <w:pPr>
        <w:pStyle w:val="ListNumber"/>
      </w:pPr>
      <w:r>
        <w:rPr>
          <w:b/>
          <w:sz w:val="20"/>
        </w:rPr>
        <w:t>Audit readiness: NOT READY.</w:t>
      </w:r>
      <w:r>
        <w:rPr>
          <w:sz w:val="20"/>
        </w:rPr>
        <w:t xml:space="preserve"> A wholesaler presenting approved-only NAFDAC status but with </w:t>
      </w:r>
      <w:r>
        <w:rPr>
          <w:b/>
          <w:sz w:val="20"/>
        </w:rPr>
        <w:t>no deviation log, zero safety-stock thresholds, and ₦102.3M expiring within 180 days</w:t>
      </w:r>
    </w:p>
    <w:p>
      <w:r>
        <w:rPr>
          <w:i/>
          <w:color w:val="666666"/>
          <w:sz w:val="16"/>
        </w:rPr>
        <w:t>Section confidence: 81%</w:t>
      </w:r>
    </w:p>
    <w:p/>
    <w:p>
      <w:pPr>
        <w:pStyle w:val="Heading2"/>
      </w:pPr>
      <w:r>
        <w:rPr>
          <w:color w:val="2D6A4F"/>
        </w:rPr>
        <w:t>Workforce &amp; HR Snapshot</w:t>
      </w:r>
    </w:p>
    <w:p>
      <w:pPr>
        <w:spacing w:after="80"/>
      </w:pPr>
      <w:r>
        <w:rPr>
          <w:sz w:val="20"/>
        </w:rPr>
        <w:t xml:space="preserve">No workforce or HR data — headcount, payroll run status, absence rate, or HR action logs — is present in the live database context provided. The available dataset is limited to the `placeware_inventory_snapshot` table (17 approved SKUs valued at approximately </w:t>
      </w:r>
      <w:r>
        <w:rPr>
          <w:b/>
          <w:sz w:val="20"/>
        </w:rPr>
        <w:t>₦218.6M</w:t>
      </w:r>
      <w:r>
        <w:rPr>
          <w:sz w:val="20"/>
        </w:rPr>
        <w:t xml:space="preserve"> as of </w:t>
      </w:r>
      <w:r>
        <w:rPr>
          <w:b/>
          <w:sz w:val="20"/>
        </w:rPr>
        <w:t>July 6, 2026</w:t>
      </w:r>
      <w:r>
        <w:rPr>
          <w:sz w:val="20"/>
        </w:rPr>
        <w:t>) and an empty `opportunities` pipeline; neither table contains any employee, payroll, or absence records.</w:t>
      </w:r>
    </w:p>
    <w:p/>
    <w:p>
      <w:pPr>
        <w:pStyle w:val="ListNumber"/>
      </w:pPr>
      <w:r>
        <w:rPr>
          <w:b/>
          <w:sz w:val="20"/>
        </w:rPr>
        <w:t>Headcount:</w:t>
      </w:r>
      <w:r>
        <w:rPr>
          <w:sz w:val="20"/>
        </w:rPr>
        <w:t xml:space="preserve"> Not reportable — no employee table exists in the current data extract.</w:t>
      </w:r>
    </w:p>
    <w:p>
      <w:pPr>
        <w:pStyle w:val="ListNumber"/>
      </w:pPr>
      <w:r>
        <w:rPr>
          <w:b/>
          <w:sz w:val="20"/>
        </w:rPr>
        <w:t>Payroll run status:</w:t>
      </w:r>
      <w:r>
        <w:rPr>
          <w:sz w:val="20"/>
        </w:rPr>
        <w:t xml:space="preserve"> Not reportable — no payroll or compensation records are available.</w:t>
      </w:r>
    </w:p>
    <w:p>
      <w:pPr>
        <w:pStyle w:val="ListNumber"/>
      </w:pPr>
      <w:r>
        <w:rPr>
          <w:b/>
          <w:sz w:val="20"/>
        </w:rPr>
        <w:t>Absence rate:</w:t>
      </w:r>
      <w:r>
        <w:rPr>
          <w:sz w:val="20"/>
        </w:rPr>
        <w:t xml:space="preserve"> Not reportable — no attendance or leave data is available.</w:t>
      </w:r>
    </w:p>
    <w:p>
      <w:pPr>
        <w:pStyle w:val="ListNumber"/>
      </w:pPr>
      <w:r>
        <w:rPr>
          <w:b/>
          <w:sz w:val="20"/>
        </w:rPr>
        <w:t>Key HR actions:</w:t>
      </w:r>
      <w:r>
        <w:rPr>
          <w:sz w:val="20"/>
        </w:rPr>
        <w:t xml:space="preserve"> None logged — the only HR-adjacent action recorded is the </w:t>
      </w:r>
      <w:r>
        <w:rPr>
          <w:b/>
          <w:sz w:val="20"/>
        </w:rPr>
        <w:t>July 6, 2026</w:t>
      </w:r>
      <w:r>
        <w:rPr>
          <w:sz w:val="20"/>
        </w:rPr>
        <w:t xml:space="preserve"> inventory import; </w:t>
      </w:r>
      <w:r>
        <w:rPr>
          <w:b/>
          <w:sz w:val="20"/>
        </w:rPr>
        <w:t>0</w:t>
      </w:r>
      <w:r>
        <w:rPr>
          <w:sz w:val="20"/>
        </w:rPr>
        <w:t xml:space="preserve"> HR workflow entries exist.</w:t>
      </w:r>
    </w:p>
    <w:p/>
    <w:p>
      <w:pPr>
        <w:spacing w:after="80"/>
      </w:pPr>
      <w:r>
        <w:rPr>
          <w:b/>
          <w:sz w:val="20"/>
        </w:rPr>
        <w:t>Recommendation:</w:t>
      </w:r>
      <w:r>
        <w:rPr>
          <w:sz w:val="20"/>
        </w:rPr>
        <w:t xml:space="preserve"> Connect a workforce/HR data source (HRIS or payroll system) to enable this section, and confirm whether the truncated `placeware_inventory_snapshot` record `id: 1914` (batch `5848b933-1131-40f1-a5be-4…`, cut off mid-string) hides any HR-related fields before the next report cycle.</w:t>
      </w:r>
    </w:p>
    <w:p>
      <w:r>
        <w:rPr>
          <w:i/>
          <w:color w:val="666666"/>
          <w:sz w:val="16"/>
        </w:rPr>
        <w:t>Section confidence: 77%</w:t>
      </w:r>
    </w:p>
    <w:p/>
    <w:p>
      <w:pPr>
        <w:pStyle w:val="Heading2"/>
      </w:pPr>
      <w:r>
        <w:rPr>
          <w:color w:val="2D6A4F"/>
        </w:rPr>
        <w:t>Risk Dashboard</w:t>
      </w:r>
    </w:p>
    <w:p>
      <w:pPr>
        <w:pStyle w:val="Heading3"/>
      </w:pPr>
      <w:r>
        <w:rPr>
          <w:color w:val="1E3A5F"/>
        </w:rPr>
        <w:t>Risk Dashboard — Top 5 Business Risks (Data as of 2026-07-06)</w:t>
      </w:r>
    </w:p>
    <w:p/>
    <w:p>
      <w:pPr>
        <w:pStyle w:val="ListNumber"/>
      </w:pPr>
      <w:r>
        <w:rPr>
          <w:b/>
          <w:sz w:val="20"/>
        </w:rPr>
        <w:t>Financial | SEVERE — ₦98.3M of stock expires within 120 days.</w:t>
      </w:r>
      <w:r>
        <w:rPr>
          <w:sz w:val="20"/>
        </w:rPr>
        <w:t xml:space="preserve"> Three SKUs account for the exposure: </w:t>
      </w:r>
      <w:r>
        <w:rPr>
          <w:b/>
          <w:sz w:val="20"/>
        </w:rPr>
        <w:t>Avaxim inj. Ped (Q)</w:t>
      </w:r>
      <w:r>
        <w:rPr>
          <w:sz w:val="20"/>
        </w:rPr>
        <w:t xml:space="preserve"> — </w:t>
      </w:r>
      <w:r>
        <w:rPr>
          <w:b/>
          <w:sz w:val="20"/>
        </w:rPr>
        <w:t>₦62,669,956</w:t>
      </w:r>
      <w:r>
        <w:rPr>
          <w:sz w:val="20"/>
        </w:rPr>
        <w:t xml:space="preserve"> (3,604 units) expires </w:t>
      </w:r>
      <w:r>
        <w:rPr>
          <w:b/>
          <w:sz w:val="20"/>
        </w:rPr>
        <w:t>2026-08-31</w:t>
      </w:r>
      <w:r>
        <w:rPr>
          <w:sz w:val="20"/>
        </w:rPr>
        <w:t xml:space="preserve">; </w:t>
      </w:r>
      <w:r>
        <w:rPr>
          <w:b/>
          <w:sz w:val="20"/>
        </w:rPr>
        <w:t>TYPHIM (O)</w:t>
      </w:r>
      <w:r>
        <w:rPr>
          <w:sz w:val="20"/>
        </w:rPr>
        <w:t xml:space="preserve"> — </w:t>
      </w:r>
      <w:r>
        <w:rPr>
          <w:b/>
          <w:sz w:val="20"/>
        </w:rPr>
        <w:t>₦21,021,308</w:t>
      </w:r>
      <w:r>
        <w:rPr>
          <w:sz w:val="20"/>
        </w:rPr>
        <w:t xml:space="preserve"> (2,084 units) expires </w:t>
      </w:r>
      <w:r>
        <w:rPr>
          <w:b/>
          <w:sz w:val="20"/>
        </w:rPr>
        <w:t>2026-10-31</w:t>
      </w:r>
      <w:r>
        <w:rPr>
          <w:sz w:val="20"/>
        </w:rPr>
        <w:t xml:space="preserve">; and </w:t>
      </w:r>
      <w:r>
        <w:rPr>
          <w:b/>
          <w:sz w:val="20"/>
        </w:rPr>
        <w:t>MENACTRA (R-adjacent P code)</w:t>
      </w:r>
      <w:r>
        <w:rPr>
          <w:sz w:val="20"/>
        </w:rPr>
        <w:t xml:space="preserve"> — </w:t>
      </w:r>
      <w:r>
        <w:rPr>
          <w:b/>
          <w:sz w:val="20"/>
        </w:rPr>
        <w:t>₦5,635,000</w:t>
      </w:r>
      <w:r>
        <w:rPr>
          <w:sz w:val="20"/>
        </w:rPr>
        <w:t xml:space="preserve"> (230 units) expires </w:t>
      </w:r>
      <w:r>
        <w:rPr>
          <w:b/>
          <w:sz w:val="20"/>
        </w:rPr>
        <w:t>2026-09-30</w:t>
      </w:r>
      <w:r>
        <w:rPr>
          <w:sz w:val="20"/>
        </w:rPr>
        <w:t xml:space="preserve">. The Avaxim batch alone represents </w:t>
      </w:r>
      <w:r>
        <w:rPr>
          <w:b/>
          <w:sz w:val="20"/>
        </w:rPr>
        <w:t>28.7%</w:t>
      </w:r>
      <w:r>
        <w:rPr>
          <w:sz w:val="20"/>
        </w:rPr>
        <w:t xml:space="preserve"> of the entire portfolio valuation and has </w:t>
      </w:r>
      <w:r>
        <w:rPr>
          <w:b/>
          <w:sz w:val="20"/>
        </w:rPr>
        <w:t>under 8 weeks</w:t>
      </w:r>
      <w:r>
        <w:rPr>
          <w:sz w:val="20"/>
        </w:rPr>
        <w:t xml:space="preserve"> of shelf life remaining at report date — liquidation or return is now urgent, not planned.</w:t>
      </w:r>
    </w:p>
    <w:p/>
    <w:p>
      <w:pPr>
        <w:pStyle w:val="ListNumber"/>
      </w:pPr>
      <w:r>
        <w:rPr>
          <w:b/>
          <w:sz w:val="20"/>
        </w:rPr>
        <w:t>Operational | HIGH — Zero pipeline vs. ₦218.6M carrying cost.</w:t>
      </w:r>
      <w:r>
        <w:rPr>
          <w:sz w:val="20"/>
        </w:rPr>
        <w:t xml:space="preserve"> The opportunities table returned </w:t>
      </w:r>
      <w:r>
        <w:rPr>
          <w:b/>
          <w:sz w:val="20"/>
        </w:rPr>
        <w:t>zero records</w:t>
      </w:r>
      <w:r>
        <w:rPr>
          <w:sz w:val="20"/>
        </w:rPr>
        <w:t xml:space="preserve">, meaning there is </w:t>
      </w:r>
      <w:r>
        <w:rPr>
          <w:b/>
          <w:sz w:val="20"/>
        </w:rPr>
        <w:t>no forward demand signal</w:t>
      </w:r>
      <w:r>
        <w:rPr>
          <w:sz w:val="20"/>
        </w:rPr>
        <w:t xml:space="preserve"> against </w:t>
      </w:r>
      <w:r>
        <w:rPr>
          <w:b/>
          <w:sz w:val="20"/>
        </w:rPr>
        <w:t>17 approved SKUs</w:t>
      </w:r>
      <w:r>
        <w:rPr>
          <w:sz w:val="20"/>
        </w:rPr>
        <w:t xml:space="preserve"> valued at approximately </w:t>
      </w:r>
      <w:r>
        <w:rPr>
          <w:b/>
          <w:sz w:val="20"/>
        </w:rPr>
        <w:t>₦218.6M</w:t>
      </w:r>
      <w:r>
        <w:rPr>
          <w:sz w:val="20"/>
        </w:rPr>
        <w:t xml:space="preserve">. Every one of those SKUs also carries </w:t>
      </w:r>
      <w:r>
        <w:rPr>
          <w:b/>
          <w:sz w:val="20"/>
        </w:rPr>
        <w:t>safety_stock = 0.0</w:t>
      </w:r>
      <w:r>
        <w:rPr>
          <w:sz w:val="20"/>
        </w:rPr>
        <w:t>, so there is no buffer logic protecting replenishment decisions; the business is holding maximum inventory with minimum visibility.</w:t>
      </w:r>
    </w:p>
    <w:p/>
    <w:p>
      <w:pPr>
        <w:pStyle w:val="ListNumber"/>
      </w:pPr>
      <w:r>
        <w:rPr>
          <w:b/>
          <w:sz w:val="20"/>
        </w:rPr>
        <w:t>Compliance | MEDIUM-HIGH — Uniform NAFDAC status masks batch-level expiry drift.</w:t>
      </w:r>
      <w:r>
        <w:rPr>
          <w:sz w:val="20"/>
        </w:rPr>
        <w:t xml:space="preserve"> All 17 SKUs show `nafdac_status: approved`, but approval does </w:t>
      </w:r>
      <w:r>
        <w:rPr>
          <w:b/>
          <w:sz w:val="20"/>
        </w:rPr>
        <w:t>not</w:t>
      </w:r>
      <w:r>
        <w:rPr>
          <w:sz w:val="20"/>
        </w:rPr>
        <w:t xml:space="preserve"> address the fact that </w:t>
      </w:r>
      <w:r>
        <w:rPr>
          <w:b/>
          <w:sz w:val="20"/>
        </w:rPr>
        <w:t>5 SKUs expire between Aug 2026 and Feb 2027</w:t>
      </w:r>
      <w:r>
        <w:rPr>
          <w:sz w:val="20"/>
        </w:rPr>
        <w:t xml:space="preserve"> (avaxim, typhim-O, menactra-P, vaxigrip tetra, nucard). Treating "approved" as "safe" is the precise blind spot that allowed the ₦98.3M near-expiry pile-up.</w:t>
      </w:r>
    </w:p>
    <w:p/>
    <w:p>
      <w:pPr>
        <w:pStyle w:val="ListNumber"/>
      </w:pPr>
      <w:r>
        <w:rPr>
          <w:b/>
          <w:sz w:val="20"/>
        </w:rPr>
        <w:t>Financial | MEDIUM — Single-batch concentration risk.</w:t>
      </w:r>
      <w:r>
        <w:rPr>
          <w:sz w:val="20"/>
        </w:rPr>
        <w:t xml:space="preserve"> </w:t>
      </w:r>
      <w:r>
        <w:rPr>
          <w:b/>
          <w:sz w:val="20"/>
        </w:rPr>
        <w:t>All 17 SKUs share one batch_id</w:t>
      </w:r>
      <w:r>
        <w:rPr>
          <w:sz w:val="20"/>
        </w:rPr>
        <w:t xml:space="preserve"> (`5848b933-1131-40f1</w:t>
      </w:r>
    </w:p>
    <w:p>
      <w:r>
        <w:rPr>
          <w:i/>
          <w:color w:val="666666"/>
          <w:sz w:val="16"/>
        </w:rPr>
        <w:t>Section confidence: 82%</w:t>
      </w:r>
    </w:p>
    <w:p/>
    <w:p>
      <w:pPr>
        <w:pStyle w:val="Heading2"/>
      </w:pPr>
      <w:r>
        <w:rPr>
          <w:color w:val="2D6A4F"/>
        </w:rPr>
        <w:t>Strategic Recommendations</w:t>
      </w:r>
    </w:p>
    <w:p>
      <w:pPr>
        <w:pStyle w:val="ListNumber"/>
      </w:pPr>
      <w:r>
        <w:rPr>
          <w:b/>
          <w:sz w:val="20"/>
        </w:rPr>
        <w:t>Liquidate Near-Expiry Stock at Risk (Priority: Critical — Owner: Head of Sales/Distribution — 30 days).</w:t>
      </w:r>
      <w:r>
        <w:rPr>
          <w:sz w:val="20"/>
        </w:rPr>
        <w:t xml:space="preserve"> </w:t>
      </w:r>
      <w:r>
        <w:rPr>
          <w:b/>
          <w:sz w:val="20"/>
        </w:rPr>
        <w:t>Avaxim inj. Ped (Q)</w:t>
      </w:r>
      <w:r>
        <w:rPr>
          <w:sz w:val="20"/>
        </w:rPr>
        <w:t xml:space="preserve"> holds </w:t>
      </w:r>
      <w:r>
        <w:rPr>
          <w:b/>
          <w:sz w:val="20"/>
        </w:rPr>
        <w:t>3,604 units valued at ₦62.7M</w:t>
      </w:r>
      <w:r>
        <w:rPr>
          <w:sz w:val="20"/>
        </w:rPr>
        <w:t xml:space="preserve"> expiring </w:t>
      </w:r>
      <w:r>
        <w:rPr>
          <w:b/>
          <w:sz w:val="20"/>
        </w:rPr>
        <w:t>2026-08-31</w:t>
      </w:r>
      <w:r>
        <w:rPr>
          <w:sz w:val="20"/>
        </w:rPr>
        <w:t xml:space="preserve"> (55 days out), and </w:t>
      </w:r>
      <w:r>
        <w:rPr>
          <w:b/>
          <w:sz w:val="20"/>
        </w:rPr>
        <w:t>MENACTRA (P)</w:t>
      </w:r>
      <w:r>
        <w:rPr>
          <w:sz w:val="20"/>
        </w:rPr>
        <w:t xml:space="preserve"> holds </w:t>
      </w:r>
      <w:r>
        <w:rPr>
          <w:b/>
          <w:sz w:val="20"/>
        </w:rPr>
        <w:t>230 units (₦5.6M)</w:t>
      </w:r>
      <w:r>
        <w:rPr>
          <w:sz w:val="20"/>
        </w:rPr>
        <w:t xml:space="preserve"> expiring </w:t>
      </w:r>
      <w:r>
        <w:rPr>
          <w:b/>
          <w:sz w:val="20"/>
        </w:rPr>
        <w:t>2026-09-30</w:t>
      </w:r>
      <w:r>
        <w:rPr>
          <w:sz w:val="20"/>
        </w:rPr>
        <w:t xml:space="preserve">. With </w:t>
      </w:r>
      <w:r>
        <w:rPr>
          <w:b/>
          <w:sz w:val="20"/>
        </w:rPr>
        <w:t>zero opportunities logged</w:t>
      </w:r>
      <w:r>
        <w:rPr>
          <w:sz w:val="20"/>
        </w:rPr>
        <w:t xml:space="preserve"> in the pipeline, initiate emergency B2B placement and distributor discounting immediately to avoid a combined </w:t>
      </w:r>
      <w:r>
        <w:rPr>
          <w:b/>
          <w:sz w:val="20"/>
        </w:rPr>
        <w:t>₦68.3M write-off</w:t>
      </w:r>
      <w:r>
        <w:rPr>
          <w:sz w:val="20"/>
        </w:rPr>
        <w:t>.</w:t>
      </w:r>
    </w:p>
    <w:p/>
    <w:p>
      <w:pPr>
        <w:pStyle w:val="ListNumber"/>
      </w:pPr>
      <w:r>
        <w:rPr>
          <w:b/>
          <w:sz w:val="20"/>
        </w:rPr>
        <w:t>Convert Stagnant Capital into Revenue (Priority: High — Owner: Commercial Director — 60 days).</w:t>
      </w:r>
      <w:r>
        <w:rPr>
          <w:sz w:val="20"/>
        </w:rPr>
        <w:t xml:space="preserve"> </w:t>
      </w:r>
      <w:r>
        <w:rPr>
          <w:b/>
          <w:sz w:val="20"/>
        </w:rPr>
        <w:t>17 approved SKUs</w:t>
      </w:r>
      <w:r>
        <w:rPr>
          <w:sz w:val="20"/>
        </w:rPr>
        <w:t xml:space="preserve"> sit entirely idle with </w:t>
      </w:r>
      <w:r>
        <w:rPr>
          <w:b/>
          <w:sz w:val="20"/>
        </w:rPr>
        <w:t>no deals in the pipeline</w:t>
      </w:r>
      <w:r>
        <w:rPr>
          <w:sz w:val="20"/>
        </w:rPr>
        <w:t xml:space="preserve">. Prioritise the top three valuation holdings — </w:t>
      </w:r>
      <w:r>
        <w:rPr>
          <w:b/>
          <w:sz w:val="20"/>
        </w:rPr>
        <w:t>Avaxim (₦62.7M)</w:t>
      </w:r>
      <w:r>
        <w:rPr>
          <w:sz w:val="20"/>
        </w:rPr>
        <w:t xml:space="preserve">, </w:t>
      </w:r>
      <w:r>
        <w:rPr>
          <w:b/>
          <w:sz w:val="20"/>
        </w:rPr>
        <w:t>TYPHIM (P) (₦41.3M)</w:t>
      </w:r>
      <w:r>
        <w:rPr>
          <w:sz w:val="20"/>
        </w:rPr>
        <w:t xml:space="preserve"> and </w:t>
      </w:r>
      <w:r>
        <w:rPr>
          <w:b/>
          <w:sz w:val="20"/>
        </w:rPr>
        <w:t>MENACTRA (R) (₦36.7M)</w:t>
      </w:r>
      <w:r>
        <w:rPr>
          <w:sz w:val="20"/>
        </w:rPr>
        <w:t xml:space="preserve"> — which alone represent </w:t>
      </w:r>
      <w:r>
        <w:rPr>
          <w:b/>
          <w:sz w:val="20"/>
        </w:rPr>
        <w:t>₦140.7M</w:t>
      </w:r>
      <w:r>
        <w:rPr>
          <w:sz w:val="20"/>
        </w:rPr>
        <w:t xml:space="preserve"> of unmonetised inventory.</w:t>
      </w:r>
    </w:p>
    <w:p/>
    <w:p>
      <w:pPr>
        <w:pStyle w:val="ListNumber"/>
      </w:pPr>
      <w:r>
        <w:rPr>
          <w:b/>
          <w:sz w:val="20"/>
        </w:rPr>
        <w:t>Set Safety-Stock Floors (Priority: High — Owner: Supply Chain Lead — 60 days).</w:t>
      </w:r>
      <w:r>
        <w:rPr>
          <w:sz w:val="20"/>
        </w:rPr>
        <w:t xml:space="preserve"> Every SKU currently carries a </w:t>
      </w:r>
      <w:r>
        <w:rPr>
          <w:b/>
          <w:sz w:val="20"/>
        </w:rPr>
        <w:t>safety_stock of 0.0</w:t>
      </w:r>
      <w:r>
        <w:rPr>
          <w:sz w:val="20"/>
        </w:rPr>
        <w:t xml:space="preserve">, leaving no buffer against demand spikes or reorder lag across the </w:t>
      </w:r>
      <w:r>
        <w:rPr>
          <w:b/>
          <w:sz w:val="20"/>
        </w:rPr>
        <w:t>₦218.6M</w:t>
      </w:r>
      <w:r>
        <w:rPr>
          <w:sz w:val="20"/>
        </w:rPr>
        <w:t xml:space="preserve"> portfolio. Define SKU-level minimums and reorder triggers by the </w:t>
      </w:r>
      <w:r>
        <w:rPr>
          <w:b/>
          <w:sz w:val="20"/>
        </w:rPr>
        <w:t>60-day</w:t>
      </w:r>
      <w:r>
        <w:rPr>
          <w:sz w:val="20"/>
        </w:rPr>
        <w:t xml:space="preserve"> mark to prevent both stock-outs and further overstock accumulation.</w:t>
      </w:r>
    </w:p>
    <w:p/>
    <w:p>
      <w:pPr>
        <w:pStyle w:val="ListNumber"/>
      </w:pPr>
      <w:r>
        <w:rPr>
          <w:b/>
          <w:sz w:val="20"/>
        </w:rPr>
        <w:t>Execute on Mature TYPHIM (O) Batch (Priority: Medium — Owner: Sales Operations — 90 days).</w:t>
      </w:r>
      <w:r>
        <w:rPr>
          <w:sz w:val="20"/>
        </w:rPr>
        <w:t xml:space="preserve"> </w:t>
      </w:r>
      <w:r>
        <w:rPr>
          <w:b/>
          <w:sz w:val="20"/>
        </w:rPr>
        <w:t>TYPHIM (O) (2,084 units, ₦21.0M)</w:t>
      </w:r>
      <w:r>
        <w:rPr>
          <w:sz w:val="20"/>
        </w:rPr>
        <w:t xml:space="preserve"> expires </w:t>
      </w:r>
      <w:r>
        <w:rPr>
          <w:b/>
          <w:sz w:val="20"/>
        </w:rPr>
        <w:t>2026-10-31</w:t>
      </w:r>
      <w:r>
        <w:rPr>
          <w:sz w:val="20"/>
        </w:rPr>
        <w:t xml:space="preserve">. Fold it into the Q3 clearance plan now so the longer-dated </w:t>
      </w:r>
      <w:r>
        <w:rPr>
          <w:b/>
          <w:sz w:val="20"/>
        </w:rPr>
        <w:t>TYPHIM (P) (₦41.3M, exp. 2027-03-31)</w:t>
      </w:r>
      <w:r>
        <w:rPr>
          <w:sz w:val="20"/>
        </w:rPr>
        <w:t xml:space="preserve"> is preserved for full-margin sales</w:t>
      </w:r>
    </w:p>
    <w:p>
      <w:r>
        <w:rPr>
          <w:i/>
          <w:color w:val="666666"/>
          <w:sz w:val="16"/>
        </w:rPr>
        <w:t>Section confidence: 81%</w:t>
      </w:r>
    </w:p>
    <w:p/>
    <w:p>
      <w:pPr>
        <w:pStyle w:val="Heading2"/>
      </w:pPr>
      <w:r>
        <w:rPr>
          <w:color w:val="2D6A4F"/>
        </w:rPr>
        <w:t>Data Coverage &amp; Methodology</w:t>
      </w:r>
    </w:p>
    <w:p>
      <w:pPr>
        <w:pStyle w:val="ListNumber"/>
      </w:pPr>
      <w:r>
        <w:rPr>
          <w:b/>
          <w:sz w:val="20"/>
        </w:rPr>
        <w:t>Source systems &amp; extraction date.</w:t>
      </w:r>
      <w:r>
        <w:rPr>
          <w:sz w:val="20"/>
        </w:rPr>
        <w:t xml:space="preserve"> This report draws on two live tables — `placeware_inventory_snapshot` and `opportunities` — both last refreshed </w:t>
      </w:r>
      <w:r>
        <w:rPr>
          <w:b/>
          <w:sz w:val="20"/>
        </w:rPr>
        <w:t>2026-07-06 18:05:05 UTC</w:t>
      </w:r>
      <w:r>
        <w:rPr>
          <w:sz w:val="20"/>
        </w:rPr>
        <w:t xml:space="preserve"> (import and update timestamps are identical for every record, indicating a single bulk load rather than incremental syncs). All 17 inventory line items share one `batch_id` (</w:t>
      </w:r>
      <w:r>
        <w:rPr>
          <w:b/>
          <w:sz w:val="20"/>
        </w:rPr>
        <w:t>5848b933-1131-40f1-a5be-424bfbd5d61e</w:t>
      </w:r>
      <w:r>
        <w:rPr>
          <w:sz w:val="20"/>
        </w:rPr>
        <w:t>), meaning no batch-level segmentation is currently possible.</w:t>
      </w:r>
    </w:p>
    <w:p/>
    <w:p>
      <w:pPr>
        <w:pStyle w:val="ListNumber"/>
      </w:pPr>
      <w:r>
        <w:rPr>
          <w:b/>
          <w:sz w:val="20"/>
        </w:rPr>
        <w:t>Coverage of inventory data.</w:t>
      </w:r>
      <w:r>
        <w:rPr>
          <w:sz w:val="20"/>
        </w:rPr>
        <w:t xml:space="preserve"> The snapshot captures </w:t>
      </w:r>
      <w:r>
        <w:rPr>
          <w:b/>
          <w:sz w:val="20"/>
        </w:rPr>
        <w:t>17 approved SKUs</w:t>
      </w:r>
      <w:r>
        <w:rPr>
          <w:sz w:val="20"/>
        </w:rPr>
        <w:t xml:space="preserve"> across 8+ distinct product families (TYPHIM, Avaxim, MENACTRA, CLEXANE, VARIRID/Varicella, PREVENAR 13, etc.), with quantities, unit costs, valuations, expiry dates, and NAFDAC status populated for each line. </w:t>
      </w:r>
      <w:r>
        <w:rPr>
          <w:b/>
          <w:sz w:val="20"/>
        </w:rPr>
        <w:t>Valuation coverage is complete</w:t>
      </w:r>
      <w:r>
        <w:rPr>
          <w:sz w:val="20"/>
        </w:rPr>
        <w:t xml:space="preserve"> — every record carries a computed `valuation`, and all 17 carry </w:t>
      </w:r>
      <w:r>
        <w:rPr>
          <w:b/>
          <w:sz w:val="20"/>
        </w:rPr>
        <w:t>`nafdac_status = "approved"`</w:t>
      </w:r>
      <w:r>
        <w:rPr>
          <w:sz w:val="20"/>
        </w:rPr>
        <w:t>, so no regulatory-blocked stock distorts the total.</w:t>
      </w:r>
    </w:p>
    <w:p/>
    <w:p>
      <w:pPr>
        <w:pStyle w:val="ListNumber"/>
      </w:pPr>
      <w:r>
        <w:rPr>
          <w:b/>
          <w:sz w:val="20"/>
        </w:rPr>
        <w:t>Critical coverage gaps.</w:t>
      </w:r>
      <w:r>
        <w:rPr>
          <w:sz w:val="20"/>
        </w:rPr>
        <w:t xml:space="preserve"> </w:t>
      </w:r>
      <w:r>
        <w:rPr>
          <w:b/>
          <w:sz w:val="20"/>
        </w:rPr>
        <w:t>`safety_stock` is `0.0` for all 17 SKUs</w:t>
      </w:r>
      <w:r>
        <w:rPr>
          <w:sz w:val="20"/>
        </w:rPr>
        <w:t xml:space="preserve">, which means reorder-point and stockout-risk analysis cannot be performed from this data — this is a material methodological limitation, not a neutral observation. Separately, the </w:t>
      </w:r>
      <w:r>
        <w:rPr>
          <w:b/>
          <w:sz w:val="20"/>
        </w:rPr>
        <w:t>`opportunities` table returned zero rows</w:t>
      </w:r>
      <w:r>
        <w:rPr>
          <w:sz w:val="20"/>
        </w:rPr>
        <w:t>, so every "pipeline" or "demand" conclusion in this report is inferred from stock ageing and expiry alone, not from confirmed customer commitments.</w:t>
      </w:r>
    </w:p>
    <w:p/>
    <w:p>
      <w:pPr>
        <w:pStyle w:val="ListNumber"/>
      </w:pPr>
      <w:r>
        <w:rPr>
          <w:b/>
          <w:sz w:val="20"/>
        </w:rPr>
        <w:t>Expiry-based methodology.</w:t>
      </w:r>
      <w:r>
        <w:rPr>
          <w:sz w:val="20"/>
        </w:rPr>
        <w:t xml:space="preserve"> Shelf-life risk is computed against the </w:t>
      </w:r>
      <w:r>
        <w:rPr>
          <w:b/>
          <w:sz w:val="20"/>
        </w:rPr>
        <w:t>2026-07-06</w:t>
      </w:r>
      <w:r>
        <w:rPr>
          <w:sz w:val="20"/>
        </w:rPr>
        <w:t xml:space="preserve"> snapshot date: </w:t>
      </w:r>
      <w:r>
        <w:rPr>
          <w:b/>
          <w:sz w:val="20"/>
        </w:rPr>
        <w:t>Avaxim inj. Ped (₦62.67M, 3,604 units) expires 2026-08-31</w:t>
      </w:r>
      <w:r>
        <w:rPr>
          <w:sz w:val="20"/>
        </w:rPr>
        <w:t xml:space="preserve"> — 56 days out — and </w:t>
      </w:r>
      <w:r>
        <w:rPr>
          <w:b/>
          <w:sz w:val="20"/>
        </w:rPr>
        <w:t>MENACTRA (P) (₦5.64M, 230 units) expires 2026-09-30</w:t>
      </w:r>
      <w:r>
        <w:rPr>
          <w:sz w:val="20"/>
        </w:rPr>
        <w:t>, making these the two line items where the valuation figure</w:t>
      </w:r>
    </w:p>
    <w:p>
      <w:r>
        <w:rPr>
          <w:i/>
          <w:color w:val="666666"/>
          <w:sz w:val="16"/>
        </w:rPr>
        <w:t>Section confidence: 82%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Sign-Off &amp; 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563"/>
        <w:gridCol w:w="-563"/>
        <w:gridCol w:w="-563"/>
      </w:tblGrid>
      <w:tr>
        <w:tc>
          <w:tcPr>
            <w:tcW w:type="dxa" w:w="-563"/>
          </w:tcPr>
          <w:p>
            <w:r>
              <w:rPr>
                <w:b/>
                <w:color w:val="1E3A5F"/>
              </w:rPr>
              <w:t>Role</w:t>
            </w:r>
          </w:p>
        </w:tc>
        <w:tc>
          <w:tcPr>
            <w:tcW w:type="dxa" w:w="-563"/>
          </w:tcPr>
          <w:p>
            <w:r>
              <w:rPr>
                <w:b/>
                <w:color w:val="1E3A5F"/>
              </w:rPr>
              <w:t>Name &amp; Signature</w:t>
            </w:r>
          </w:p>
        </w:tc>
        <w:tc>
          <w:tcPr>
            <w:tcW w:type="dxa" w:w="-563"/>
          </w:tcPr>
          <w:p>
            <w:r>
              <w:rPr>
                <w:b/>
                <w:color w:val="1E3A5F"/>
              </w:rPr>
              <w:t>Date</w:t>
            </w:r>
          </w:p>
        </w:tc>
      </w:tr>
      <w:tr>
        <w:tc>
          <w:tcPr>
            <w:tcW w:type="dxa" w:w="-563"/>
          </w:tcPr>
          <w:p>
            <w:r>
              <w:t>Prepared By</w:t>
            </w:r>
          </w:p>
        </w:tc>
        <w:tc>
          <w:tcPr>
            <w:tcW w:type="dxa" w:w="-563"/>
          </w:tcPr>
          <w:p>
            <w:r/>
          </w:p>
        </w:tc>
        <w:tc>
          <w:tcPr>
            <w:tcW w:type="dxa" w:w="-563"/>
          </w:tcPr>
          <w:p>
            <w:r/>
          </w:p>
        </w:tc>
      </w:tr>
      <w:tr>
        <w:tc>
          <w:tcPr>
            <w:tcW w:type="dxa" w:w="-563"/>
          </w:tcPr>
          <w:p>
            <w:r>
              <w:t>Reviewed By</w:t>
            </w:r>
          </w:p>
        </w:tc>
        <w:tc>
          <w:tcPr>
            <w:tcW w:type="dxa" w:w="-563"/>
          </w:tcPr>
          <w:p>
            <w:r/>
          </w:p>
        </w:tc>
        <w:tc>
          <w:tcPr>
            <w:tcW w:type="dxa" w:w="-563"/>
          </w:tcPr>
          <w:p>
            <w:r/>
          </w:p>
        </w:tc>
      </w:tr>
      <w:tr>
        <w:tc>
          <w:tcPr>
            <w:tcW w:type="dxa" w:w="-563"/>
          </w:tcPr>
          <w:p>
            <w:r>
              <w:t>Approved By</w:t>
            </w:r>
          </w:p>
        </w:tc>
        <w:tc>
          <w:tcPr>
            <w:tcW w:type="dxa" w:w="-563"/>
          </w:tcPr>
          <w:p>
            <w:r/>
          </w:p>
        </w:tc>
        <w:tc>
          <w:tcPr>
            <w:tcW w:type="dxa" w:w="-563"/>
          </w:tcPr>
          <w:p>
            <w:r/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This report was generated by ACE - Placeware Nigeria AI Executive Intelligence. CONFIDENTIAL. Not a substitute for professional regulatory or financial advice.</w:t>
      </w:r>
    </w:p>
    <w:sectPr w:rsidR="00FC693F" w:rsidRPr="0006063C" w:rsidSect="00034616">
      <w:pgSz w:w="1191" w:h="1684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