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48982" w14:textId="77777777" w:rsidR="001A7714" w:rsidRPr="001A7714" w:rsidRDefault="001A7714" w:rsidP="001A7714">
      <w:pPr>
        <w:pStyle w:val="Ttulo1"/>
        <w:spacing w:before="0"/>
        <w:jc w:val="both"/>
        <w:rPr>
          <w:rFonts w:ascii="Calibri" w:hAnsi="Calibri" w:cs="Calibri"/>
          <w:b/>
          <w:bCs/>
          <w:color w:val="000000" w:themeColor="text1"/>
          <w:sz w:val="24"/>
          <w:szCs w:val="24"/>
        </w:rPr>
      </w:pPr>
      <w:r w:rsidRPr="001A7714">
        <w:rPr>
          <w:rFonts w:ascii="Calibri" w:hAnsi="Calibri" w:cs="Calibri"/>
          <w:b/>
          <w:bCs/>
          <w:color w:val="000000" w:themeColor="text1"/>
          <w:sz w:val="24"/>
          <w:szCs w:val="24"/>
        </w:rPr>
        <w:t>Marco teórico interdisciplinario, evidencia de investigación formativa y justificación ética desde Enfermería</w:t>
      </w:r>
    </w:p>
    <w:p w14:paraId="355C2FDF"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La Plataforma de Inteligencia Territorial y Biodiversidad (PITB) Antioquia es una propuesta tecnológica orientada a construir un catálogo vivo de biodiversidad mediante inteligencia artificial, identificación de especies y georreferenciación de registros, con el propósito de aportar información al ordenamiento territorial del departamento. El proyecto plantea integrar fotografías tomadas en campo, por cámaras trampa o por la ciudadanía; procesarlas mediante el modelo BioCLIP; ubicar los registros geográficamente y relacionarlos con capas de ordenamiento territorial POT/EOT. Aunque la iniciativa se centra en la biodiversidad y la planificación territorial, desde Enfermería puede ampliarse la comprensión de la relación entre salud humana, ambiente, prevención de riesgos y bienestar comunitario.</w:t>
      </w:r>
    </w:p>
    <w:p w14:paraId="2CA54A37"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La participación de Enfermería no consiste en reemplazar las funciones de biólogos, ecólogos, ingenieros o autoridades ambientales, ni en intervenir directamente en la clasificación taxonómica. Su aporte se ubica en la perspectiva de la salud pública: comprender cómo las condiciones ambientales se relacionan con la salud de las comunidades, promover la prevención, fortalecer la educación para la salud y contribuir a que la información territorial se interprete teniendo en cuenta el bienestar humano.</w:t>
      </w:r>
    </w:p>
    <w:p w14:paraId="5C1CEF67" w14:textId="77777777" w:rsidR="001A7714" w:rsidRPr="001A7714" w:rsidRDefault="001A7714" w:rsidP="001A7714">
      <w:pPr>
        <w:pStyle w:val="Ttulo2"/>
        <w:spacing w:before="0"/>
        <w:jc w:val="both"/>
        <w:rPr>
          <w:rFonts w:ascii="Calibri" w:hAnsi="Calibri" w:cs="Calibri"/>
          <w:b/>
          <w:bCs/>
          <w:color w:val="000000" w:themeColor="text1"/>
          <w:sz w:val="24"/>
          <w:szCs w:val="24"/>
        </w:rPr>
      </w:pPr>
      <w:r w:rsidRPr="001A7714">
        <w:rPr>
          <w:rFonts w:ascii="Calibri" w:hAnsi="Calibri" w:cs="Calibri"/>
          <w:b/>
          <w:bCs/>
          <w:color w:val="000000" w:themeColor="text1"/>
          <w:sz w:val="24"/>
          <w:szCs w:val="24"/>
        </w:rPr>
        <w:t>1.1. Enfoque de salud pública y determinantes ambientales de la salud</w:t>
      </w:r>
    </w:p>
    <w:p w14:paraId="5D1930F0"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La Organización Mundial de la Salud reconoce que la salud de las personas está estrechamente relacionada con las condiciones del entorno, entre ellas la calidad del aire y del agua, la vivienda, el saneamiento, los ecosistemas y las condiciones en las que viven las comunidades (OMS, 2023). Desde esta perspectiva, la salud no depende exclusivamente de la atención de las enfermedades, sino también de la prevención de riesgos y de las condiciones ambientales y sociales que pueden proteger o afectar el bienestar.</w:t>
      </w:r>
    </w:p>
    <w:p w14:paraId="2A773DF5"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Este enfoque se relaciona con la PITB Antioquia porque la plataforma busca generar información más actualizada sobre la presencia y distribución de especies, así como identificar cambios ecológicos relevantes. Aunque los registros de biodiversidad no permiten establecer por sí solos que exista un riesgo sanitario, pueden constituir una fuente complementaria para orientar preguntas de salud pública y reconocer situaciones ambientales que ameriten evaluación por parte de las autoridades competentes. Por ejemplo, los cambios en los ecosistemas o la presencia de determinadas especies pueden motivar investigaciones sobre riesgos ambientales o zoonóticos, siempre que se realicen análisis específicos y se eviten conclusiones automáticas a partir de una fotografía.</w:t>
      </w:r>
    </w:p>
    <w:p w14:paraId="3B90A085" w14:textId="77777777" w:rsidR="001A7714" w:rsidRPr="001A7714" w:rsidRDefault="001A7714" w:rsidP="001A7714">
      <w:pPr>
        <w:pStyle w:val="Ttulo2"/>
        <w:spacing w:before="0"/>
        <w:jc w:val="both"/>
        <w:rPr>
          <w:rFonts w:ascii="Calibri" w:hAnsi="Calibri" w:cs="Calibri"/>
          <w:b/>
          <w:bCs/>
          <w:color w:val="000000" w:themeColor="text1"/>
          <w:sz w:val="24"/>
          <w:szCs w:val="24"/>
        </w:rPr>
      </w:pPr>
      <w:r w:rsidRPr="001A7714">
        <w:rPr>
          <w:rFonts w:ascii="Calibri" w:hAnsi="Calibri" w:cs="Calibri"/>
          <w:b/>
          <w:bCs/>
          <w:color w:val="000000" w:themeColor="text1"/>
          <w:sz w:val="24"/>
          <w:szCs w:val="24"/>
        </w:rPr>
        <w:t>1.2. Enfoque de Una Sola Salud (One Health)</w:t>
      </w:r>
    </w:p>
    <w:p w14:paraId="366AD0DB"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El enfoque de Una Sola Salud reconoce que la salud de las personas, los animales y los ecosistemas están conectadas y requieren trabajo coordinado entre diferentes disciplinas y sectores. La Organización Mundial de la Salud y otras organizaciones internacionales promueven este enfoque para abordar problemas complejos que no pueden comprenderse desde una sola área del conocimiento (FAO et al., 2022).</w:t>
      </w:r>
    </w:p>
    <w:p w14:paraId="3ADB206D"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Desde Enfermería, este marco permite proponer una articulación entre la información sobre biodiversidad de la PITB y las acciones de promoción de la salud, prevención de enfermedades y educación comunitaria. Cuando los registros de la plataforma sugieran una situación que pueda tener relevancia para la salud humana, el personal de Enfermería podría colaborar con equipos de salud pública y autoridades ambientales para diseñar mensajes preventivos o actividades educativas. La plataforma no debe utilizarse para diagnosticar enfermedades ni para confirmar la presencia de agentes infecciosos; cualquier riesgo sanitario requiere verificación por profesionales y fuentes epidemiológicas apropiadas.</w:t>
      </w:r>
    </w:p>
    <w:p w14:paraId="0377B84A" w14:textId="77777777" w:rsidR="001A7714" w:rsidRPr="001A7714" w:rsidRDefault="001A7714" w:rsidP="001A7714">
      <w:pPr>
        <w:pStyle w:val="Ttulo2"/>
        <w:spacing w:before="0"/>
        <w:jc w:val="both"/>
        <w:rPr>
          <w:rFonts w:ascii="Calibri" w:hAnsi="Calibri" w:cs="Calibri"/>
          <w:b/>
          <w:bCs/>
          <w:color w:val="000000" w:themeColor="text1"/>
          <w:sz w:val="24"/>
          <w:szCs w:val="24"/>
        </w:rPr>
      </w:pPr>
      <w:r w:rsidRPr="001A7714">
        <w:rPr>
          <w:rFonts w:ascii="Calibri" w:hAnsi="Calibri" w:cs="Calibri"/>
          <w:b/>
          <w:bCs/>
          <w:color w:val="000000" w:themeColor="text1"/>
          <w:sz w:val="24"/>
          <w:szCs w:val="24"/>
        </w:rPr>
        <w:t>1.3. Atención Primaria en Salud, participación comunitaria y educación</w:t>
      </w:r>
    </w:p>
    <w:p w14:paraId="22E59553"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La Atención Primaria en Salud (APS) prioriza la promoción de la salud, la prevención de la enfermedad, la participación de las comunidades y la coordinación entre sectores. La Declaración de Astaná reafirma la importancia de la atención primaria para avanzar hacia una cobertura sanitaria universal y mejorar la salud de las poblaciones (OMS y UNICEF, 2018).</w:t>
      </w:r>
    </w:p>
    <w:p w14:paraId="5C9E4B98"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La PITB incorpora un componente de ciencia ciudadana mediante la posibilidad de que las personas aporten fotografías y contribuyan al conocimiento de la biodiversidad de su territorio. Enfermería puede complementar este componente con estrategias de educación comunitaria que expliquen la relación entre el cuidado del ambiente y el bienestar, promuevan prácticas seguras durante las actividades de observación de fauna y flora, y orienten a las personas sobre la importancia de reportar situaciones de riesgo a las entidades competentes. Estas actividades deben diseñarse según las características culturales, educativas y territoriales de cada comunidad, sin atribuir a la ciudadanía responsabilidades de diagnóstico ambiental o sanitario.</w:t>
      </w:r>
    </w:p>
    <w:p w14:paraId="3FC6FA22" w14:textId="77777777" w:rsidR="001A7714" w:rsidRPr="001A7714" w:rsidRDefault="001A7714" w:rsidP="001A7714">
      <w:pPr>
        <w:pStyle w:val="Ttulo2"/>
        <w:spacing w:before="0"/>
        <w:jc w:val="both"/>
        <w:rPr>
          <w:rFonts w:ascii="Calibri" w:hAnsi="Calibri" w:cs="Calibri"/>
          <w:b/>
          <w:bCs/>
          <w:color w:val="000000" w:themeColor="text1"/>
          <w:sz w:val="24"/>
          <w:szCs w:val="24"/>
        </w:rPr>
      </w:pPr>
      <w:r w:rsidRPr="001A7714">
        <w:rPr>
          <w:rFonts w:ascii="Calibri" w:hAnsi="Calibri" w:cs="Calibri"/>
          <w:b/>
          <w:bCs/>
          <w:color w:val="000000" w:themeColor="text1"/>
          <w:sz w:val="24"/>
          <w:szCs w:val="24"/>
        </w:rPr>
        <w:t>1.4. Investigación formativa e interdisciplinariedad</w:t>
      </w:r>
    </w:p>
    <w:p w14:paraId="4F76C41D"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La investigación formativa desde Enfermería puede aportar preguntas y métodos para comprender las necesidades de educación y prevención de las comunidades que interactúen con la plataforma. Por ejemplo, se pueden explorar los conocimientos previos sobre biodiversidad y salud ambiental, las prácticas de autocuidado durante recorridos de campo, la comprensión de los mensajes preventivos y las necesidades de accesibilidad de la información.</w:t>
      </w:r>
    </w:p>
    <w:p w14:paraId="1A4E7D9B"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En la PITB, los profesionales de tecnología desarrollan e integran los componentes de IA y análisis geoespacial; los especialistas en biodiversidad revisan la pertinencia de los registros; los profesionales de ordenamiento territorial analizan su relación con las capas POT/EOT; y Enfermería puede contribuir a traducir hallazgos relevantes en preguntas de salud pública, materiales educativos y propuestas preventivas. Esta colaboración amplía el valor social de la plataforma sin modificar su propósito principal.</w:t>
      </w:r>
    </w:p>
    <w:p w14:paraId="50355A75" w14:textId="77777777" w:rsidR="001A7714" w:rsidRPr="001A7714" w:rsidRDefault="001A7714" w:rsidP="001A7714">
      <w:pPr>
        <w:pStyle w:val="Ttulo1"/>
        <w:spacing w:before="0"/>
        <w:jc w:val="both"/>
        <w:rPr>
          <w:rFonts w:ascii="Calibri" w:hAnsi="Calibri" w:cs="Calibri"/>
          <w:b/>
          <w:bCs/>
          <w:color w:val="000000" w:themeColor="text1"/>
          <w:sz w:val="24"/>
          <w:szCs w:val="24"/>
        </w:rPr>
      </w:pPr>
      <w:r w:rsidRPr="001A7714">
        <w:rPr>
          <w:rFonts w:ascii="Calibri" w:hAnsi="Calibri" w:cs="Calibri"/>
          <w:b/>
          <w:bCs/>
          <w:color w:val="000000" w:themeColor="text1"/>
          <w:sz w:val="24"/>
          <w:szCs w:val="24"/>
        </w:rPr>
        <w:t>2. Evidencia de investigación formativa y propuesta de evaluación</w:t>
      </w:r>
    </w:p>
    <w:p w14:paraId="29DC085B"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La revisión documental preliminar permite identificar tres bases para el aporte de Enfermería. Primero, el enfoque de Una Sola Salud plantea que la salud humana, animal y ambiental deben abordarse de manera coordinada (FAO et al., 2022). Segundo, el marco de determinantes ambientales de la salud de la OMS destaca la importancia de las condiciones del entorno en el bienestar de las personas (OMS, 2023). Tercero, la Declaración de Astaná resalta el valor de la Atención Primaria en Salud, la prevención y la participación comunitaria (OMS y UNICEF, 2018).</w:t>
      </w:r>
    </w:p>
    <w:p w14:paraId="79395A54"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Estos antecedentes justifican explorar la conexión entre biodiversidad, educación ambiental y salud comunitaria, pero no demuestran que la PITB ya haya reducido enfermedades o identificado riesgos sanitarios. Para generar evidencia propia, se propone una evaluación formativa con usuarios y comunidades durante una fase piloto, previa autorización y con instrumentos adecuados.</w:t>
      </w:r>
    </w:p>
    <w:p w14:paraId="284B4F77"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La evaluación podría desarrollarse en tres momentos:</w:t>
      </w:r>
    </w:p>
    <w:p w14:paraId="6C3440F3" w14:textId="77777777" w:rsidR="001A7714" w:rsidRPr="001A7714" w:rsidRDefault="001A7714" w:rsidP="001A7714">
      <w:pPr>
        <w:pStyle w:val="Listaconnmeros"/>
        <w:tabs>
          <w:tab w:val="num" w:pos="360"/>
        </w:tabs>
        <w:ind w:left="360" w:hanging="360"/>
        <w:jc w:val="both"/>
        <w:rPr>
          <w:rFonts w:ascii="Calibri" w:hAnsi="Calibri" w:cs="Calibri"/>
          <w:sz w:val="24"/>
          <w:szCs w:val="24"/>
        </w:rPr>
      </w:pPr>
      <w:r w:rsidRPr="001A7714">
        <w:rPr>
          <w:rFonts w:ascii="Calibri" w:hAnsi="Calibri" w:cs="Calibri"/>
          <w:sz w:val="24"/>
          <w:szCs w:val="24"/>
        </w:rPr>
        <w:t>Diagnóstico inicial: encuesta breve sobre conocimientos de salud ambiental, percepción de riesgos y prácticas preventivas relacionadas con actividades de observación de fauna y flora.</w:t>
      </w:r>
    </w:p>
    <w:p w14:paraId="2BAC9760" w14:textId="77777777" w:rsidR="001A7714" w:rsidRPr="001A7714" w:rsidRDefault="001A7714" w:rsidP="001A7714">
      <w:pPr>
        <w:pStyle w:val="Listaconnmeros"/>
        <w:tabs>
          <w:tab w:val="num" w:pos="360"/>
        </w:tabs>
        <w:ind w:left="360" w:hanging="360"/>
        <w:jc w:val="both"/>
        <w:rPr>
          <w:rFonts w:ascii="Calibri" w:hAnsi="Calibri" w:cs="Calibri"/>
          <w:sz w:val="24"/>
          <w:szCs w:val="24"/>
        </w:rPr>
      </w:pPr>
      <w:r w:rsidRPr="001A7714">
        <w:rPr>
          <w:rFonts w:ascii="Calibri" w:hAnsi="Calibri" w:cs="Calibri"/>
          <w:sz w:val="24"/>
          <w:szCs w:val="24"/>
        </w:rPr>
        <w:t>Actividad educativa: presentación de mensajes claros sobre autocuidado, respeto por la fauna, prevención de contactos riesgosos y canales institucionales para reportar hallazgos o incidentes.</w:t>
      </w:r>
    </w:p>
    <w:p w14:paraId="17380356" w14:textId="77777777" w:rsidR="001A7714" w:rsidRPr="001A7714" w:rsidRDefault="001A7714" w:rsidP="001A7714">
      <w:pPr>
        <w:pStyle w:val="Listaconnmeros"/>
        <w:tabs>
          <w:tab w:val="num" w:pos="360"/>
        </w:tabs>
        <w:ind w:left="360" w:hanging="360"/>
        <w:jc w:val="both"/>
        <w:rPr>
          <w:rFonts w:ascii="Calibri" w:hAnsi="Calibri" w:cs="Calibri"/>
          <w:sz w:val="24"/>
          <w:szCs w:val="24"/>
        </w:rPr>
      </w:pPr>
      <w:r w:rsidRPr="001A7714">
        <w:rPr>
          <w:rFonts w:ascii="Calibri" w:hAnsi="Calibri" w:cs="Calibri"/>
          <w:sz w:val="24"/>
          <w:szCs w:val="24"/>
        </w:rPr>
        <w:t>Evaluación posterior: preguntas de comprensión y percepción de utilidad para identificar qué contenidos se entendieron y qué aspectos requieren ajustes.</w:t>
      </w:r>
    </w:p>
    <w:p w14:paraId="5AE4BC54"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Como indicadores preliminares se podrían utilizar el porcentaje de participantes que identifica correctamente recomendaciones de autocuidado, el cambio entre respuestas iniciales y finales, la claridad percibida de los materiales y la cantidad de observaciones recibidas para mejorar la estrategia educativa. Estos son indicadores propuestos, no resultados obtenidos. Los datos deberán recopilarse y analizarse antes de afirmar que la intervención produjo cambios.</w:t>
      </w:r>
    </w:p>
    <w:p w14:paraId="1419C44D" w14:textId="77777777" w:rsidR="001A7714" w:rsidRPr="001A7714" w:rsidRDefault="001A7714" w:rsidP="001A7714">
      <w:pPr>
        <w:pStyle w:val="Ttulo1"/>
        <w:spacing w:before="0"/>
        <w:jc w:val="both"/>
        <w:rPr>
          <w:rFonts w:ascii="Calibri" w:hAnsi="Calibri" w:cs="Calibri"/>
          <w:b/>
          <w:bCs/>
          <w:color w:val="000000" w:themeColor="text1"/>
          <w:sz w:val="24"/>
          <w:szCs w:val="24"/>
        </w:rPr>
      </w:pPr>
      <w:r w:rsidRPr="001A7714">
        <w:rPr>
          <w:rFonts w:ascii="Calibri" w:hAnsi="Calibri" w:cs="Calibri"/>
          <w:b/>
          <w:bCs/>
          <w:color w:val="000000" w:themeColor="text1"/>
          <w:sz w:val="24"/>
          <w:szCs w:val="24"/>
        </w:rPr>
        <w:t>3. Justificación ética desde Enfermería</w:t>
      </w:r>
    </w:p>
    <w:p w14:paraId="3B8C7306"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La contribución de Enfermería a la PITB debe respetar los principios de beneficencia, no maleficencia, autonomía, justicia, confidencialidad y responsabilidad profesional. También debe reconocer que la información generada por inteligencia artificial puede contener errores y que una identificación automatizada no constituye por sí sola evidencia suficiente para adoptar decisiones sanitarias.</w:t>
      </w:r>
    </w:p>
    <w:p w14:paraId="162577BC" w14:textId="77777777" w:rsidR="001A7714" w:rsidRPr="001A7714" w:rsidRDefault="001A7714" w:rsidP="001A7714">
      <w:pPr>
        <w:pStyle w:val="Ttulo2"/>
        <w:spacing w:before="0"/>
        <w:jc w:val="both"/>
        <w:rPr>
          <w:rFonts w:ascii="Calibri" w:hAnsi="Calibri" w:cs="Calibri"/>
          <w:b/>
          <w:bCs/>
          <w:color w:val="000000" w:themeColor="text1"/>
          <w:sz w:val="24"/>
          <w:szCs w:val="24"/>
        </w:rPr>
      </w:pPr>
      <w:r w:rsidRPr="001A7714">
        <w:rPr>
          <w:rFonts w:ascii="Calibri" w:hAnsi="Calibri" w:cs="Calibri"/>
          <w:b/>
          <w:bCs/>
          <w:color w:val="000000" w:themeColor="text1"/>
          <w:sz w:val="24"/>
          <w:szCs w:val="24"/>
        </w:rPr>
        <w:t>3.1. Uso responsable de la información y límites de la IA</w:t>
      </w:r>
    </w:p>
    <w:p w14:paraId="366F36DF"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El modelo BioCLIP propuesto por el proyecto está orientado a la identificación de organismos a partir de imágenes. Por ello, sus resultados deben interpretarse dentro de ese alcance. No se debe presentar una identificación de especie como diagnóstico de enfermedad, prueba de transmisión de patógenos ni confirmación de peligro para la comunidad. Si un registro suscita una inquietud sanitaria, debe remitirse a los especialistas y autoridades correspondientes para una evaluación independiente.</w:t>
      </w:r>
    </w:p>
    <w:p w14:paraId="6398DF1A" w14:textId="77777777" w:rsidR="001A7714" w:rsidRPr="001A7714" w:rsidRDefault="001A7714" w:rsidP="001A7714">
      <w:pPr>
        <w:pStyle w:val="Ttulo2"/>
        <w:spacing w:before="0"/>
        <w:jc w:val="both"/>
        <w:rPr>
          <w:rFonts w:ascii="Calibri" w:hAnsi="Calibri" w:cs="Calibri"/>
          <w:b/>
          <w:bCs/>
          <w:color w:val="000000" w:themeColor="text1"/>
          <w:sz w:val="24"/>
          <w:szCs w:val="24"/>
        </w:rPr>
      </w:pPr>
      <w:r w:rsidRPr="001A7714">
        <w:rPr>
          <w:rFonts w:ascii="Calibri" w:hAnsi="Calibri" w:cs="Calibri"/>
          <w:b/>
          <w:bCs/>
          <w:color w:val="000000" w:themeColor="text1"/>
          <w:sz w:val="24"/>
          <w:szCs w:val="24"/>
        </w:rPr>
        <w:t>3.2. Protección de las comunidades</w:t>
      </w:r>
    </w:p>
    <w:p w14:paraId="7AB3DD55"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Las actividades de educación o evaluación con ciudadanos deben informar claramente su propósito y solicitar la participación voluntaria cuando corresponda. Si se recopilan datos personales, opiniones o información que permita identificar a las personas, se deben aplicar medidas de confidencialidad, minimización de datos, almacenamiento seguro y cumplimiento de la normativa vigente. La ubicación precisa de especies vulnerables también requiere cuidado para evitar que la publicación de registros facilite su captura, tráfico o perturbación.</w:t>
      </w:r>
    </w:p>
    <w:p w14:paraId="613EED81" w14:textId="77777777" w:rsidR="001A7714" w:rsidRPr="001A7714" w:rsidRDefault="001A7714" w:rsidP="001A7714">
      <w:pPr>
        <w:pStyle w:val="Ttulo2"/>
        <w:spacing w:before="0"/>
        <w:jc w:val="both"/>
        <w:rPr>
          <w:rFonts w:ascii="Calibri" w:hAnsi="Calibri" w:cs="Calibri"/>
          <w:b/>
          <w:bCs/>
          <w:color w:val="000000" w:themeColor="text1"/>
          <w:sz w:val="24"/>
          <w:szCs w:val="24"/>
        </w:rPr>
      </w:pPr>
      <w:r w:rsidRPr="001A7714">
        <w:rPr>
          <w:rFonts w:ascii="Calibri" w:hAnsi="Calibri" w:cs="Calibri"/>
          <w:b/>
          <w:bCs/>
          <w:color w:val="000000" w:themeColor="text1"/>
          <w:sz w:val="24"/>
          <w:szCs w:val="24"/>
        </w:rPr>
        <w:t>3.3. Equidad, inclusión y comunicación clara</w:t>
      </w:r>
    </w:p>
    <w:p w14:paraId="462A4FCB"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Las recomendaciones de salud ambiental deben comunicarse con lenguaje comprensible y adaptarse a las características culturales, territoriales y educativas de la población. Se deben evitar mensajes alarmistas, estigmatizantes o que responsabilicen a comunidades por problemas ambientales estructurales. La información debe ayudar a tomar decisiones informadas y promover la colaboración entre ciudadanía, servicios de salud y autoridades ambientales.</w:t>
      </w:r>
    </w:p>
    <w:p w14:paraId="60440818" w14:textId="77777777" w:rsidR="001A7714" w:rsidRPr="001A7714" w:rsidRDefault="001A7714" w:rsidP="001A7714">
      <w:pPr>
        <w:pStyle w:val="Ttulo2"/>
        <w:spacing w:before="0"/>
        <w:jc w:val="both"/>
        <w:rPr>
          <w:rFonts w:ascii="Calibri" w:hAnsi="Calibri" w:cs="Calibri"/>
          <w:b/>
          <w:bCs/>
          <w:color w:val="000000" w:themeColor="text1"/>
          <w:sz w:val="24"/>
          <w:szCs w:val="24"/>
        </w:rPr>
      </w:pPr>
      <w:r w:rsidRPr="001A7714">
        <w:rPr>
          <w:rFonts w:ascii="Calibri" w:hAnsi="Calibri" w:cs="Calibri"/>
          <w:b/>
          <w:bCs/>
          <w:color w:val="000000" w:themeColor="text1"/>
          <w:sz w:val="24"/>
          <w:szCs w:val="24"/>
        </w:rPr>
        <w:t>3.4. Responsabilidad profesional</w:t>
      </w:r>
    </w:p>
    <w:p w14:paraId="2CF76965"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Enfermería puede orientar acciones de promoción y prevención, educación para la salud y articulación comunitaria, pero no debe emitir conclusiones fuera de su competencia profesional ni recomendar intervenciones sanitarias basadas exclusivamente en una predicción algorítmica. Las decisiones deben fundamentarse en evidencia suficiente, valoración de los profesionales competentes y lineamientos institucionales.</w:t>
      </w:r>
    </w:p>
    <w:p w14:paraId="2A931804" w14:textId="77777777" w:rsidR="001A7714" w:rsidRPr="001A7714" w:rsidRDefault="001A7714" w:rsidP="001A7714">
      <w:pPr>
        <w:pStyle w:val="Ttulo1"/>
        <w:spacing w:before="0"/>
        <w:jc w:val="both"/>
        <w:rPr>
          <w:rFonts w:ascii="Calibri" w:hAnsi="Calibri" w:cs="Calibri"/>
          <w:b/>
          <w:bCs/>
          <w:color w:val="000000" w:themeColor="text1"/>
          <w:sz w:val="24"/>
          <w:szCs w:val="24"/>
        </w:rPr>
      </w:pPr>
      <w:r w:rsidRPr="001A7714">
        <w:rPr>
          <w:rFonts w:ascii="Calibri" w:hAnsi="Calibri" w:cs="Calibri"/>
          <w:b/>
          <w:bCs/>
          <w:color w:val="000000" w:themeColor="text1"/>
          <w:sz w:val="24"/>
          <w:szCs w:val="24"/>
        </w:rPr>
        <w:t>4. Análisis del impacto esperado en la sociedad, la educación y la cultura</w:t>
      </w:r>
    </w:p>
    <w:p w14:paraId="680D2080" w14:textId="77777777" w:rsidR="001A7714" w:rsidRPr="001A7714" w:rsidRDefault="001A7714" w:rsidP="001A7714">
      <w:pPr>
        <w:jc w:val="both"/>
        <w:rPr>
          <w:rFonts w:ascii="Calibri" w:hAnsi="Calibri" w:cs="Calibri"/>
          <w:sz w:val="24"/>
          <w:szCs w:val="24"/>
        </w:rPr>
      </w:pPr>
      <w:r w:rsidRPr="001A7714">
        <w:rPr>
          <w:rFonts w:ascii="Calibri" w:hAnsi="Calibri" w:cs="Calibri"/>
          <w:sz w:val="24"/>
          <w:szCs w:val="24"/>
        </w:rPr>
        <w:t>La incorporación de la perspectiva de Enfermería podría ampliar el impacto social de la PITB al conectar la información sobre biodiversidad con la promoción del bienestar comunitario. La plataforma tiene como propósito principal apoyar el ordenamiento territorial mediante un catálogo vivo de fauna y flora, registros georreferenciados y cruces con capas POT/EOT. El aporte de Enfermería sería complementario: ayudar a interpretar posibles implicaciones para la educación en salud y proponer acciones preventivas cuando exista evidencia suficiente.</w:t>
      </w:r>
    </w:p>
    <w:p w14:paraId="5AA4C08A" w14:textId="77777777" w:rsidR="001A7714" w:rsidRPr="001A7714" w:rsidRDefault="001A7714" w:rsidP="001A7714">
      <w:pPr>
        <w:pStyle w:val="Listaconvietas"/>
        <w:tabs>
          <w:tab w:val="num" w:pos="360"/>
        </w:tabs>
        <w:ind w:left="360" w:hanging="360"/>
        <w:jc w:val="both"/>
        <w:rPr>
          <w:rFonts w:ascii="Calibri" w:hAnsi="Calibri" w:cs="Calibri"/>
          <w:sz w:val="24"/>
          <w:szCs w:val="24"/>
        </w:rPr>
      </w:pPr>
      <w:r w:rsidRPr="001A7714">
        <w:rPr>
          <w:rFonts w:ascii="Calibri" w:hAnsi="Calibri" w:cs="Calibri"/>
          <w:b/>
          <w:sz w:val="24"/>
          <w:szCs w:val="24"/>
        </w:rPr>
        <w:t>Impacto en salud pública:</w:t>
      </w:r>
      <w:r w:rsidRPr="001A7714">
        <w:rPr>
          <w:rFonts w:ascii="Calibri" w:hAnsi="Calibri" w:cs="Calibri"/>
          <w:sz w:val="24"/>
          <w:szCs w:val="24"/>
        </w:rPr>
        <w:t xml:space="preserve"> facilitar la formulación de preguntas de investigación sobre la relación entre cambios ambientales y bienestar comunitario, en coordinación con epidemiología y autoridades ambientales.</w:t>
      </w:r>
    </w:p>
    <w:p w14:paraId="7D7B5980" w14:textId="77777777" w:rsidR="001A7714" w:rsidRPr="001A7714" w:rsidRDefault="001A7714" w:rsidP="001A7714">
      <w:pPr>
        <w:pStyle w:val="Listaconvietas"/>
        <w:tabs>
          <w:tab w:val="num" w:pos="360"/>
        </w:tabs>
        <w:ind w:left="360" w:hanging="360"/>
        <w:jc w:val="both"/>
        <w:rPr>
          <w:rFonts w:ascii="Calibri" w:hAnsi="Calibri" w:cs="Calibri"/>
          <w:sz w:val="24"/>
          <w:szCs w:val="24"/>
        </w:rPr>
      </w:pPr>
      <w:r w:rsidRPr="001A7714">
        <w:rPr>
          <w:rFonts w:ascii="Calibri" w:hAnsi="Calibri" w:cs="Calibri"/>
          <w:b/>
          <w:sz w:val="24"/>
          <w:szCs w:val="24"/>
        </w:rPr>
        <w:t>Impacto educativo:</w:t>
      </w:r>
      <w:r w:rsidRPr="001A7714">
        <w:rPr>
          <w:rFonts w:ascii="Calibri" w:hAnsi="Calibri" w:cs="Calibri"/>
          <w:sz w:val="24"/>
          <w:szCs w:val="24"/>
        </w:rPr>
        <w:t xml:space="preserve"> diseñar materiales que expliquen la relación entre ecosistemas, salud y autocuidado durante actividades de ciencia ciudadana.</w:t>
      </w:r>
    </w:p>
    <w:p w14:paraId="00258EDF" w14:textId="77777777" w:rsidR="001A7714" w:rsidRPr="001A7714" w:rsidRDefault="001A7714" w:rsidP="001A7714">
      <w:pPr>
        <w:pStyle w:val="Listaconvietas"/>
        <w:tabs>
          <w:tab w:val="num" w:pos="360"/>
        </w:tabs>
        <w:ind w:left="360" w:hanging="360"/>
        <w:jc w:val="both"/>
        <w:rPr>
          <w:rFonts w:ascii="Calibri" w:hAnsi="Calibri" w:cs="Calibri"/>
          <w:sz w:val="24"/>
          <w:szCs w:val="24"/>
        </w:rPr>
      </w:pPr>
      <w:r w:rsidRPr="001A7714">
        <w:rPr>
          <w:rFonts w:ascii="Calibri" w:hAnsi="Calibri" w:cs="Calibri"/>
          <w:b/>
          <w:sz w:val="24"/>
          <w:szCs w:val="24"/>
        </w:rPr>
        <w:t>Impacto comunitario:</w:t>
      </w:r>
      <w:r w:rsidRPr="001A7714">
        <w:rPr>
          <w:rFonts w:ascii="Calibri" w:hAnsi="Calibri" w:cs="Calibri"/>
          <w:sz w:val="24"/>
          <w:szCs w:val="24"/>
        </w:rPr>
        <w:t xml:space="preserve"> promover participación informada, reporte responsable de hallazgos y comunicación entre ciudadanía, servicios de salud y autoridades.</w:t>
      </w:r>
    </w:p>
    <w:p w14:paraId="3BE6AECB" w14:textId="77777777" w:rsidR="001A7714" w:rsidRPr="001A7714" w:rsidRDefault="001A7714" w:rsidP="001A7714">
      <w:pPr>
        <w:pStyle w:val="Listaconvietas"/>
        <w:tabs>
          <w:tab w:val="num" w:pos="360"/>
        </w:tabs>
        <w:ind w:left="360" w:hanging="360"/>
        <w:jc w:val="both"/>
        <w:rPr>
          <w:rFonts w:ascii="Calibri" w:hAnsi="Calibri" w:cs="Calibri"/>
          <w:sz w:val="24"/>
          <w:szCs w:val="24"/>
        </w:rPr>
      </w:pPr>
      <w:r w:rsidRPr="001A7714">
        <w:rPr>
          <w:rFonts w:ascii="Calibri" w:hAnsi="Calibri" w:cs="Calibri"/>
          <w:b/>
          <w:sz w:val="24"/>
          <w:szCs w:val="24"/>
        </w:rPr>
        <w:t>Impacto interdisciplinario:</w:t>
      </w:r>
      <w:r w:rsidRPr="001A7714">
        <w:rPr>
          <w:rFonts w:ascii="Calibri" w:hAnsi="Calibri" w:cs="Calibri"/>
          <w:sz w:val="24"/>
          <w:szCs w:val="24"/>
        </w:rPr>
        <w:t xml:space="preserve"> incorporar la mirada de la salud humana en una iniciativa tecnológica y territorial sin sustituir la validación biológica ni el análisis geoespacial.</w:t>
      </w:r>
    </w:p>
    <w:p w14:paraId="1BCC7AEA" w14:textId="77777777" w:rsidR="001A7714" w:rsidRPr="001A7714" w:rsidRDefault="001A7714" w:rsidP="001A7714">
      <w:pPr>
        <w:pStyle w:val="Listaconvietas"/>
        <w:tabs>
          <w:tab w:val="num" w:pos="360"/>
        </w:tabs>
        <w:ind w:left="360" w:hanging="360"/>
        <w:jc w:val="both"/>
        <w:rPr>
          <w:rFonts w:ascii="Calibri" w:hAnsi="Calibri" w:cs="Calibri"/>
          <w:sz w:val="24"/>
          <w:szCs w:val="24"/>
        </w:rPr>
      </w:pPr>
      <w:r w:rsidRPr="001A7714">
        <w:rPr>
          <w:rFonts w:ascii="Calibri" w:hAnsi="Calibri" w:cs="Calibri"/>
          <w:b/>
          <w:sz w:val="24"/>
          <w:szCs w:val="24"/>
        </w:rPr>
        <w:t>Límites y riesgos:</w:t>
      </w:r>
      <w:r w:rsidRPr="001A7714">
        <w:rPr>
          <w:rFonts w:ascii="Calibri" w:hAnsi="Calibri" w:cs="Calibri"/>
          <w:sz w:val="24"/>
          <w:szCs w:val="24"/>
        </w:rPr>
        <w:t xml:space="preserve"> evitar inferir riesgos de enfermedad solo por la presencia de una especie, difundir información alarmista o exponer datos sensibles de personas y ubicaciones de especies vulnerables.</w:t>
      </w:r>
    </w:p>
    <w:p w14:paraId="4061C43E" w14:textId="77777777" w:rsidR="007572AF" w:rsidRPr="007572AF" w:rsidRDefault="007572AF" w:rsidP="007572AF">
      <w:pPr>
        <w:pStyle w:val="Ttulo1"/>
        <w:spacing w:before="0"/>
        <w:rPr>
          <w:rFonts w:ascii="Calibri" w:eastAsiaTheme="minorEastAsia" w:hAnsi="Calibri" w:cs="Calibri"/>
          <w:b/>
          <w:bCs/>
          <w:color w:val="000000" w:themeColor="text1"/>
          <w:sz w:val="24"/>
          <w:szCs w:val="24"/>
        </w:rPr>
      </w:pPr>
      <w:r w:rsidRPr="007572AF">
        <w:rPr>
          <w:rFonts w:ascii="Calibri" w:eastAsiaTheme="minorEastAsia" w:hAnsi="Calibri" w:cs="Calibri"/>
          <w:b/>
          <w:bCs/>
          <w:color w:val="000000" w:themeColor="text1"/>
          <w:sz w:val="24"/>
          <w:szCs w:val="24"/>
        </w:rPr>
        <w:t>6. Conclusión</w:t>
      </w:r>
    </w:p>
    <w:p w14:paraId="01B25FB6" w14:textId="77777777" w:rsidR="007572AF" w:rsidRPr="007572AF" w:rsidRDefault="007572AF" w:rsidP="007572AF">
      <w:pPr>
        <w:rPr>
          <w:rFonts w:ascii="Calibri" w:hAnsi="Calibri" w:cs="Calibri"/>
          <w:sz w:val="24"/>
          <w:szCs w:val="24"/>
        </w:rPr>
      </w:pPr>
      <w:r w:rsidRPr="007572AF">
        <w:rPr>
          <w:rFonts w:ascii="Calibri" w:hAnsi="Calibri" w:cs="Calibri"/>
          <w:sz w:val="24"/>
          <w:szCs w:val="24"/>
        </w:rPr>
        <w:t>La Enfermería puede realizar un aporte significativo a la PITB Antioquia desde la salud pública, los determinantes ambientales de la salud, la Atención Primaria en Salud, la educación comunitaria y la prevención. Su participación permitiría explorar cómo la información sobre biodiversidad puede apoyar la formulación de preguntas e iniciativas de promoción del bienestar, siempre mediante coordinación interdisciplinaria y evaluación basada en evidencia.</w:t>
      </w:r>
    </w:p>
    <w:p w14:paraId="330E6CC9" w14:textId="77777777" w:rsidR="007572AF" w:rsidRPr="007572AF" w:rsidRDefault="007572AF" w:rsidP="007572AF">
      <w:pPr>
        <w:rPr>
          <w:rFonts w:ascii="Calibri" w:hAnsi="Calibri" w:cs="Calibri"/>
          <w:sz w:val="24"/>
          <w:szCs w:val="24"/>
        </w:rPr>
      </w:pPr>
      <w:r w:rsidRPr="007572AF">
        <w:rPr>
          <w:rFonts w:ascii="Calibri" w:hAnsi="Calibri" w:cs="Calibri"/>
          <w:sz w:val="24"/>
          <w:szCs w:val="24"/>
        </w:rPr>
        <w:t>El enfoque de Una Sola Salud ofrece un marco para reconocer las conexiones entre personas, animales y ecosistemas. Sin embargo, los registros de la PITB y las identificaciones generadas por BioCLIP no deben interpretarse automáticamente como diagnósticos o alertas sanitarias. La protección de datos, la comunicación responsable, la inclusión y la validación profesional son condiciones indispensables para cualquier articulación futura.</w:t>
      </w:r>
    </w:p>
    <w:p w14:paraId="4B70202E" w14:textId="77777777" w:rsidR="007572AF" w:rsidRPr="007572AF" w:rsidRDefault="007572AF" w:rsidP="007572AF">
      <w:pPr>
        <w:rPr>
          <w:rFonts w:ascii="Calibri" w:hAnsi="Calibri" w:cs="Calibri"/>
          <w:sz w:val="24"/>
          <w:szCs w:val="24"/>
        </w:rPr>
      </w:pPr>
      <w:r w:rsidRPr="007572AF">
        <w:rPr>
          <w:rFonts w:ascii="Calibri" w:hAnsi="Calibri" w:cs="Calibri"/>
          <w:sz w:val="24"/>
          <w:szCs w:val="24"/>
        </w:rPr>
        <w:t>En conclusión, el valor de Enfermería en este proyecto consiste en contribuir a que el conocimiento de la biodiversidad dialogue de manera responsable con la promoción de la salud y el bienestar de las comunidades. Este aporte complementa el propósito central de la plataforma —fortalecer el conocimiento territorial y la conservación de la biodiversidad en Antioquia— sin alterar su alcance tecnológico.</w:t>
      </w:r>
    </w:p>
    <w:p w14:paraId="278F684B" w14:textId="77777777" w:rsidR="007572AF" w:rsidRPr="007572AF" w:rsidRDefault="007572AF" w:rsidP="007572AF">
      <w:pPr>
        <w:pStyle w:val="Ttulo1"/>
        <w:spacing w:before="0"/>
        <w:rPr>
          <w:rFonts w:ascii="Calibri" w:eastAsiaTheme="minorEastAsia" w:hAnsi="Calibri" w:cs="Calibri"/>
          <w:color w:val="auto"/>
          <w:sz w:val="24"/>
          <w:szCs w:val="24"/>
        </w:rPr>
      </w:pPr>
      <w:r w:rsidRPr="007572AF">
        <w:rPr>
          <w:rFonts w:ascii="Calibri" w:eastAsiaTheme="minorEastAsia" w:hAnsi="Calibri" w:cs="Calibri"/>
          <w:color w:val="auto"/>
          <w:sz w:val="24"/>
          <w:szCs w:val="24"/>
        </w:rPr>
        <w:t>Referencias</w:t>
      </w:r>
    </w:p>
    <w:p w14:paraId="43A0C815" w14:textId="77777777" w:rsidR="007572AF" w:rsidRPr="007572AF" w:rsidRDefault="007572AF" w:rsidP="007572AF">
      <w:pPr>
        <w:pStyle w:val="Listaconnmeros"/>
        <w:rPr>
          <w:rFonts w:ascii="Calibri" w:hAnsi="Calibri" w:cs="Calibri"/>
          <w:sz w:val="24"/>
          <w:szCs w:val="24"/>
        </w:rPr>
      </w:pPr>
      <w:r w:rsidRPr="007572AF">
        <w:rPr>
          <w:rFonts w:ascii="Calibri" w:hAnsi="Calibri" w:cs="Calibri"/>
          <w:sz w:val="24"/>
          <w:szCs w:val="24"/>
        </w:rPr>
        <w:t>Food and Agriculture Organization of the United Nations, United Nations Environment Programme, World Health Organization, &amp; World Organisation for Animal Health. (2022). One Health Joint Plan of Action (2022–2026): Working together for the health of humans, animals, plants and the environment. FAO. https://www.fao.org/3/cc2289en/cc2289en.pdf</w:t>
      </w:r>
    </w:p>
    <w:p w14:paraId="0A28A85F" w14:textId="77777777" w:rsidR="007572AF" w:rsidRPr="007572AF" w:rsidRDefault="007572AF" w:rsidP="007572AF">
      <w:pPr>
        <w:pStyle w:val="Listaconnmeros"/>
        <w:rPr>
          <w:rFonts w:ascii="Calibri" w:hAnsi="Calibri" w:cs="Calibri"/>
          <w:sz w:val="24"/>
          <w:szCs w:val="24"/>
        </w:rPr>
      </w:pPr>
      <w:r w:rsidRPr="007572AF">
        <w:rPr>
          <w:rFonts w:ascii="Calibri" w:hAnsi="Calibri" w:cs="Calibri"/>
          <w:sz w:val="24"/>
          <w:szCs w:val="24"/>
        </w:rPr>
        <w:t>Organización Mundial de la Salud. (2023). Environmental health. https://www.who.int/health-topics/environmental-health</w:t>
      </w:r>
    </w:p>
    <w:p w14:paraId="54CFF6B6" w14:textId="77777777" w:rsidR="007572AF" w:rsidRPr="007572AF" w:rsidRDefault="007572AF" w:rsidP="007572AF">
      <w:pPr>
        <w:pStyle w:val="Listaconnmeros"/>
        <w:rPr>
          <w:rFonts w:ascii="Calibri" w:hAnsi="Calibri" w:cs="Calibri"/>
          <w:sz w:val="24"/>
          <w:szCs w:val="24"/>
        </w:rPr>
      </w:pPr>
      <w:r w:rsidRPr="007572AF">
        <w:rPr>
          <w:rFonts w:ascii="Calibri" w:hAnsi="Calibri" w:cs="Calibri"/>
          <w:sz w:val="24"/>
          <w:szCs w:val="24"/>
        </w:rPr>
        <w:t>Organización Mundial de la Salud, &amp; Fondo de las Naciones Unidas para la Infancia. (2018). Declaración de Astaná sobre Atención Primaria de Salud. https://www.who.int/docs/default-source/primary-health/declaration/gcphc-declaration-sp.pdf</w:t>
      </w:r>
    </w:p>
    <w:p w14:paraId="493898C8" w14:textId="77777777" w:rsidR="007572AF" w:rsidRPr="007572AF" w:rsidRDefault="007572AF" w:rsidP="007572AF">
      <w:pPr>
        <w:pStyle w:val="Listaconnmeros"/>
        <w:rPr>
          <w:rFonts w:ascii="Calibri" w:hAnsi="Calibri" w:cs="Calibri"/>
          <w:sz w:val="24"/>
          <w:szCs w:val="24"/>
        </w:rPr>
      </w:pPr>
      <w:r w:rsidRPr="007572AF">
        <w:rPr>
          <w:rFonts w:ascii="Calibri" w:hAnsi="Calibri" w:cs="Calibri"/>
          <w:sz w:val="24"/>
          <w:szCs w:val="24"/>
        </w:rPr>
        <w:t>Stevens, S., Wu, J., Thompson, M. J., Campolongo, E. G., Song, C. H., Carlyn, D. E., Dong, L., Dahdul, W. M., Stewart, C., Berger-Wolf, T., Chao, W.-L., &amp; Su, Y. (2024). BioCLIP: A vision foundation model for the tree of life. Proceedings of the IEEE/CVF Conference on Computer Vision and Pattern Recognition, 19412–19424. https://openaccess.thecvf.com/content/CVPR2024/papers/Stevens_BioCLIP_A_Vision_Foundatio_n_Model_for_the_Tree_of_Life_CVPR_2024_paper.pdf</w:t>
      </w:r>
    </w:p>
    <w:p w14:paraId="5DF3D36C" w14:textId="77777777" w:rsidR="0049543E" w:rsidRPr="007572AF" w:rsidRDefault="0049543E" w:rsidP="007572AF">
      <w:pPr>
        <w:rPr>
          <w:rFonts w:ascii="Calibri" w:hAnsi="Calibri" w:cs="Calibri"/>
          <w:sz w:val="24"/>
          <w:szCs w:val="24"/>
        </w:rPr>
      </w:pPr>
    </w:p>
    <w:sectPr w:rsidR="0049543E" w:rsidRPr="007572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DB60B4A"/>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7CFEA618"/>
    <w:lvl w:ilvl="0">
      <w:start w:val="1"/>
      <w:numFmt w:val="bullet"/>
      <w:pStyle w:val="Listaconvietas"/>
      <w:lvlText w:val=""/>
      <w:lvlJc w:val="left"/>
      <w:pPr>
        <w:tabs>
          <w:tab w:val="num" w:pos="360"/>
        </w:tabs>
        <w:ind w:left="360" w:hanging="360"/>
      </w:pPr>
      <w:rPr>
        <w:rFonts w:ascii="Symbol" w:hAnsi="Symbol" w:hint="default"/>
      </w:rPr>
    </w:lvl>
  </w:abstractNum>
  <w:num w:numId="1" w16cid:durableId="84232343">
    <w:abstractNumId w:val="1"/>
  </w:num>
  <w:num w:numId="2" w16cid:durableId="705326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14"/>
    <w:rsid w:val="001A7714"/>
    <w:rsid w:val="00264994"/>
    <w:rsid w:val="002E0F4C"/>
    <w:rsid w:val="0049543E"/>
    <w:rsid w:val="007572AF"/>
    <w:rsid w:val="007D69FD"/>
    <w:rsid w:val="009D21CC"/>
    <w:rsid w:val="00BF18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EC53A"/>
  <w15:chartTrackingRefBased/>
  <w15:docId w15:val="{6E071FEB-B6DF-435D-BF03-B3659F2B0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714"/>
    <w:pPr>
      <w:spacing w:after="140" w:line="276" w:lineRule="auto"/>
    </w:pPr>
    <w:rPr>
      <w:rFonts w:ascii="Arial" w:eastAsiaTheme="minorEastAsia" w:hAnsi="Arial"/>
      <w:kern w:val="0"/>
      <w:sz w:val="21"/>
      <w:szCs w:val="22"/>
      <w:lang w:val="en-US"/>
      <w14:ligatures w14:val="none"/>
    </w:rPr>
  </w:style>
  <w:style w:type="paragraph" w:styleId="Ttulo1">
    <w:name w:val="heading 1"/>
    <w:basedOn w:val="Normal"/>
    <w:next w:val="Normal"/>
    <w:link w:val="Ttulo1Car"/>
    <w:uiPriority w:val="9"/>
    <w:qFormat/>
    <w:rsid w:val="001A7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A7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77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77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77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77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77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77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77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77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A77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77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77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77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77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77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77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7714"/>
    <w:rPr>
      <w:rFonts w:eastAsiaTheme="majorEastAsia" w:cstheme="majorBidi"/>
      <w:color w:val="272727" w:themeColor="text1" w:themeTint="D8"/>
    </w:rPr>
  </w:style>
  <w:style w:type="paragraph" w:styleId="Ttulo">
    <w:name w:val="Title"/>
    <w:basedOn w:val="Normal"/>
    <w:next w:val="Normal"/>
    <w:link w:val="TtuloCar"/>
    <w:uiPriority w:val="10"/>
    <w:qFormat/>
    <w:rsid w:val="001A7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77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77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77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7714"/>
    <w:pPr>
      <w:spacing w:before="160"/>
      <w:jc w:val="center"/>
    </w:pPr>
    <w:rPr>
      <w:i/>
      <w:iCs/>
      <w:color w:val="404040" w:themeColor="text1" w:themeTint="BF"/>
    </w:rPr>
  </w:style>
  <w:style w:type="character" w:customStyle="1" w:styleId="CitaCar">
    <w:name w:val="Cita Car"/>
    <w:basedOn w:val="Fuentedeprrafopredeter"/>
    <w:link w:val="Cita"/>
    <w:uiPriority w:val="29"/>
    <w:rsid w:val="001A7714"/>
    <w:rPr>
      <w:i/>
      <w:iCs/>
      <w:color w:val="404040" w:themeColor="text1" w:themeTint="BF"/>
    </w:rPr>
  </w:style>
  <w:style w:type="paragraph" w:styleId="Prrafodelista">
    <w:name w:val="List Paragraph"/>
    <w:basedOn w:val="Normal"/>
    <w:uiPriority w:val="34"/>
    <w:qFormat/>
    <w:rsid w:val="001A7714"/>
    <w:pPr>
      <w:ind w:left="720"/>
      <w:contextualSpacing/>
    </w:pPr>
  </w:style>
  <w:style w:type="character" w:styleId="nfasisintenso">
    <w:name w:val="Intense Emphasis"/>
    <w:basedOn w:val="Fuentedeprrafopredeter"/>
    <w:uiPriority w:val="21"/>
    <w:qFormat/>
    <w:rsid w:val="001A7714"/>
    <w:rPr>
      <w:i/>
      <w:iCs/>
      <w:color w:val="0F4761" w:themeColor="accent1" w:themeShade="BF"/>
    </w:rPr>
  </w:style>
  <w:style w:type="paragraph" w:styleId="Citadestacada">
    <w:name w:val="Intense Quote"/>
    <w:basedOn w:val="Normal"/>
    <w:next w:val="Normal"/>
    <w:link w:val="CitadestacadaCar"/>
    <w:uiPriority w:val="30"/>
    <w:qFormat/>
    <w:rsid w:val="001A7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7714"/>
    <w:rPr>
      <w:i/>
      <w:iCs/>
      <w:color w:val="0F4761" w:themeColor="accent1" w:themeShade="BF"/>
    </w:rPr>
  </w:style>
  <w:style w:type="character" w:styleId="Referenciaintensa">
    <w:name w:val="Intense Reference"/>
    <w:basedOn w:val="Fuentedeprrafopredeter"/>
    <w:uiPriority w:val="32"/>
    <w:qFormat/>
    <w:rsid w:val="001A7714"/>
    <w:rPr>
      <w:b/>
      <w:bCs/>
      <w:smallCaps/>
      <w:color w:val="0F4761" w:themeColor="accent1" w:themeShade="BF"/>
      <w:spacing w:val="5"/>
    </w:rPr>
  </w:style>
  <w:style w:type="paragraph" w:styleId="Listaconvietas">
    <w:name w:val="List Bullet"/>
    <w:basedOn w:val="Normal"/>
    <w:uiPriority w:val="99"/>
    <w:unhideWhenUsed/>
    <w:rsid w:val="001A7714"/>
    <w:pPr>
      <w:numPr>
        <w:numId w:val="1"/>
      </w:numPr>
      <w:tabs>
        <w:tab w:val="clear" w:pos="360"/>
      </w:tabs>
      <w:ind w:left="0" w:firstLine="0"/>
      <w:contextualSpacing/>
    </w:pPr>
  </w:style>
  <w:style w:type="paragraph" w:styleId="Listaconnmeros">
    <w:name w:val="List Number"/>
    <w:basedOn w:val="Normal"/>
    <w:uiPriority w:val="99"/>
    <w:unhideWhenUsed/>
    <w:rsid w:val="001A7714"/>
    <w:pPr>
      <w:numPr>
        <w:numId w:val="2"/>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C909C-F31C-458D-9B93-E92BD92D57D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2256</Words>
  <Characters>12409</Characters>
  <Application>Microsoft Office Word</Application>
  <DocSecurity>0</DocSecurity>
  <Lines>103</Lines>
  <Paragraphs>29</Paragraphs>
  <ScaleCrop>false</ScaleCrop>
  <Company/>
  <LinksUpToDate>false</LinksUpToDate>
  <CharactersWithSpaces>14636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Ruiz Ocampo</dc:creator>
  <cp:keywords/>
  <dc:description/>
  <cp:lastModifiedBy>Juan Sebastían Martínez Galeano</cp:lastModifiedBy>
  <cp:revision>2</cp:revision>
  <dcterms:created xsi:type="dcterms:W3CDTF">2026-10-17T01:47:00Z</dcterms:created>
  <dcterms:modified xsi:type="dcterms:W3CDTF">2026-10-17T01:47:00Z</dcterms:modified>
</cp:coreProperties>
</file>