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949A" w14:textId="77777777" w:rsidR="004C7E94" w:rsidRPr="004C7E94" w:rsidRDefault="004C7E94" w:rsidP="004C7E94">
      <w:pPr>
        <w:rPr>
          <w:b/>
          <w:bCs/>
        </w:rPr>
      </w:pPr>
      <w:r w:rsidRPr="004C7E94">
        <w:rPr>
          <w:b/>
          <w:bCs/>
        </w:rPr>
        <w:t>Aportes de la psicología a la Plataforma de Inteligencia Territorial y Biodiversidad (PITB) Antioquia</w:t>
      </w:r>
    </w:p>
    <w:p w14:paraId="10B7C592" w14:textId="77777777" w:rsidR="004C7E94" w:rsidRPr="004C7E94" w:rsidRDefault="004C7E94" w:rsidP="004C7E94">
      <w:pPr>
        <w:rPr>
          <w:b/>
          <w:bCs/>
        </w:rPr>
      </w:pPr>
      <w:r w:rsidRPr="004C7E94">
        <w:rPr>
          <w:b/>
          <w:bCs/>
        </w:rPr>
        <w:t>1. Marco teórico, evidencia de investigación formativa y justificación ética desde la psicología</w:t>
      </w:r>
    </w:p>
    <w:p w14:paraId="75231B8C" w14:textId="77777777" w:rsidR="004C7E94" w:rsidRPr="004C7E94" w:rsidRDefault="004C7E94" w:rsidP="004C7E94">
      <w:r w:rsidRPr="004C7E94">
        <w:t>La Plataforma de Inteligencia Territorial y Biodiversidad (PITB) Antioquia propone integrar la inteligencia artificial en la identificación y el registro de especies de fauna y flora, con el propósito de generar información que contribuya al conocimiento de la biodiversidad y al ordenamiento territorial. Desde la psicología, este proyecto puede analizarse a partir de la relación entre las personas y el ambiente, los factores que influyen en la participación ciudadana, los procesos cognitivos relacionados con la interpretación de información y las implicaciones éticas de la interacción humana con sistemas de inteligencia artificial. Esta perspectiva permite reconocer que el aprovechamiento de una herramienta tecnológica no depende únicamente de sus capacidades técnicas, sino también de cómo las personas comprenden, utilizan y valoran la información que proporciona.</w:t>
      </w:r>
    </w:p>
    <w:p w14:paraId="5EE4BBD3" w14:textId="77777777" w:rsidR="004C7E94" w:rsidRPr="004C7E94" w:rsidRDefault="004C7E94" w:rsidP="004C7E94">
      <w:r w:rsidRPr="004C7E94">
        <w:t>En primer lugar, la psicología ambiental constituye un fundamento teórico relevante para comprender la relación entre los individuos y su entorno natural. Gifford (2014) explica que el comportamiento ambiental está influido por diferentes factores psicológicos, como las actitudes, las creencias, las normas sociales y las barreras que dificultan la adopción de conductas favorables al ambiente. En relación con la PITB Antioquia, estos planteamientos permiten comprender que la participación ciudadana en el registro de especies no depende exclusivamente de disponer de una plataforma, sino también de las motivaciones, los conocimientos y las condiciones que favorecen el compromiso de las personas con la conservación de la biodiversidad. De esta manera, desde la psicología se propone promover estrategias de sensibilización ambiental, actividades de formación y mecanismos de retroalimentación que permitan a los ciudadanos comprender la importancia de sus aportes y fortalecer su participación en el conocimiento del territorio.</w:t>
      </w:r>
    </w:p>
    <w:p w14:paraId="08067223" w14:textId="77777777" w:rsidR="004C7E94" w:rsidRPr="004C7E94" w:rsidRDefault="004C7E94" w:rsidP="004C7E94">
      <w:r w:rsidRPr="004C7E94">
        <w:t>Esta perspectiva se complementa con la teoría del comportamiento planificado de Ajzen (1991), según la cual la intención de realizar una conducta se relaciona con las actitudes hacia dicha conducta, las normas subjetivas y el control conductual percibido. Aplicado a la PITB, este modelo permite analizar cómo la valoración de la conservación ambiental, la percepción del apoyo de la comunidad y la confianza en la propia capacidad para utilizar la plataforma pueden relacionarse con la disposición a participar en el registro de biodiversidad. Por ejemplo, una persona puede considerar importante proteger la fauna, pero abstenerse de participar porque cree que carece de los conocimientos necesarios para identificar especies o utilizar herramientas tecnológicas. Ante esta situación, se propone implementar orientaciones accesibles y actividades de familiarización que faciliten el uso de la plataforma y fortalezcan la percepción de capacidad de los participantes. Estos planteamientos constituyen una base para formular estrategias que posteriormente deberán evaluarse en el contexto real del proyecto.</w:t>
      </w:r>
    </w:p>
    <w:p w14:paraId="7A554C14" w14:textId="77777777" w:rsidR="004C7E94" w:rsidRPr="004C7E94" w:rsidRDefault="004C7E94" w:rsidP="004C7E94">
      <w:r w:rsidRPr="004C7E94">
        <w:t>Asimismo, Kollmuss y Agyeman (2002) examinan la relación entre la conciencia ambiental y el comportamiento favorable al ambiente, señalando que la adopción de conductas sostenibles está condicionada por múltiples factores y que el conocimiento, por sí solo, no garantiza la acción. Este aporte resulta pertinente para la PITB porque permite reconocer que informar a la ciudadanía sobre la importancia de la biodiversidad no asegura automáticamente su participación. También es necesario considerar las motivaciones individuales, las influencias sociales y las barreras que pueden dificultar el compromiso ambiental. En consecuencia, se propone que las estrategias de participación tengan en cuenta las características de los usuarios y faciliten experiencias comprensibles y significativas, en las que las personas puedan reconocer el valor de contribuir al conocimiento de su entorno.</w:t>
      </w:r>
    </w:p>
    <w:p w14:paraId="35549147" w14:textId="77777777" w:rsidR="004C7E94" w:rsidRPr="004C7E94" w:rsidRDefault="004C7E94" w:rsidP="004C7E94">
      <w:r w:rsidRPr="004C7E94">
        <w:t>Por otra parte, la psicología cognitiva permite comprender los procesos mediante los cuales las personas perciben, interpretan y utilizan la información para tomar decisiones. Kahneman (2011) analiza cómo los juicios humanos pueden estar influidos por heurísticas y sesgos cognitivos que, en determinadas circunstancias, conducen a interpretaciones equivocadas. En el contexto de la PITB, este planteamiento resulta importante porque los usuarios podrían asumir que una identificación generada por inteligencia artificial es necesariamente correcta, sin considerar las limitaciones de la imagen o la posibilidad de que existan especies visualmente similares. Por ello, desde la psicología se propone que los resultados se presenten de manera comprensible, que se diferencien las identificaciones preliminares de los registros validados y que se facilite la revisión de aquellos casos que requieran confirmación. Estas medidas buscan favorecer una interpretación crítica de la información y evitar que la confianza en la tecnología sustituya el análisis de la evidencia.</w:t>
      </w:r>
    </w:p>
    <w:p w14:paraId="08562DEF" w14:textId="77777777" w:rsidR="004C7E94" w:rsidRPr="004C7E94" w:rsidRDefault="004C7E94" w:rsidP="004C7E94">
      <w:r w:rsidRPr="004C7E94">
        <w:t>En relación con este aspecto, Lee y See (2004) estudian la confianza en los sistemas automatizados y destacan la importancia de diseñar condiciones que permitan una dependencia adecuada de la tecnología, de acuerdo con sus capacidades reales. Este planteamiento puede aplicarse a la interacción entre los usuarios y la PITB, puesto que una confianza excesiva podría llevar a aceptar resultados incorrectos, mientras que una confianza insuficiente podría reducir la disposición a utilizar la herramienta. Desde la psicología, se considera necesario favorecer una confianza informada mediante explicaciones claras sobre el funcionamiento general del sistema, la comunicación de sus limitaciones y la posibilidad de revisar las identificaciones. Así, se busca promover una relación equilibrada con la inteligencia artificial, en la que sus resultados sean considerados recursos de apoyo y no verdades incuestionables.</w:t>
      </w:r>
    </w:p>
    <w:p w14:paraId="6D2CD4D5" w14:textId="77777777" w:rsidR="004C7E94" w:rsidRPr="004C7E94" w:rsidRDefault="004C7E94" w:rsidP="004C7E94">
      <w:r w:rsidRPr="004C7E94">
        <w:t>Los antecedentes teóricos mencionados constituyen una base para la investigación formativa desde la psicología, ya que permiten formular preguntas y estrategias de evaluación relacionadas con las características de las personas que utilizarán la plataforma. A partir de los aportes de Gifford (2014), Ajzen (1991) y Kollmuss y Agyeman (2002), se propone explorar las actitudes hacia la conservación de la biodiversidad, las motivaciones para participar, las barreras percibidas y la disposición a contribuir con registros de fauna y flora. De manera complementaria, los planteamientos de Kahneman (2011) y Lee y See (2004) permiten orientar la evaluación de la comprensión de los resultados, la confianza en las identificaciones automatizadas y la disposición de los usuarios a verificar la información.</w:t>
      </w:r>
    </w:p>
    <w:p w14:paraId="6BEDD342" w14:textId="77777777" w:rsidR="004C7E94" w:rsidRPr="004C7E94" w:rsidRDefault="004C7E94" w:rsidP="004C7E94">
      <w:r w:rsidRPr="004C7E94">
        <w:t>Para desarrollar esta evaluación, se propone realizar un diagnóstico inicial mediante una encuesta breve que explore las actitudes ambientales, la percepción de capacidad para utilizar la plataforma, las motivaciones y las dificultades identificadas por los participantes. Posteriormente, se podría recoger información sobre la experiencia de uso, la comprensión de los resultados y la percepción de utilidad de la herramienta. Finalmente, el análisis de los datos permitiría identificar necesidades de formación y oportunidades de mejora. Esta propuesta facilitaría la generación de evidencia propia sobre la experiencia de los usuarios y contribuiría a orientar las estrategias psicológicas del proyecto. Sin embargo, sus resultados deberán establecerse a partir de la información efectivamente recopilada durante la implementación piloto, sin asumir anticipadamente que las intervenciones producirán cambios determinados.</w:t>
      </w:r>
    </w:p>
    <w:p w14:paraId="1DCE69C3" w14:textId="77777777" w:rsidR="004C7E94" w:rsidRPr="004C7E94" w:rsidRDefault="004C7E94" w:rsidP="004C7E94">
      <w:r w:rsidRPr="004C7E94">
        <w:t>Desde la dimensión ética, la psicología aporta elementos para analizar cómo la interacción con la inteligencia artificial puede influir en la autonomía, la confianza y la toma de decisiones de las personas. Uno de los riesgos que deben considerarse es la aceptación automática de los resultados generados por el sistema, especialmente cuando los usuarios no comprenden sus limitaciones. Por esta razón, se propone promover el pensamiento crítico, comunicar la incertidumbre cuando corresponda y facilitar la consulta de especialistas para verificar las identificaciones dudosas. De igual forma, es importante que la experiencia de uso sea comprensible para personas con distintos niveles de conocimiento y familiaridad tecnológica, con el fin de reducir barreras de participación y favorecer una interacción más inclusiva.</w:t>
      </w:r>
    </w:p>
    <w:p w14:paraId="12BC2F24" w14:textId="77777777" w:rsidR="004C7E94" w:rsidRPr="004C7E94" w:rsidRDefault="004C7E94" w:rsidP="004C7E94">
      <w:r w:rsidRPr="004C7E94">
        <w:t>La reflexión ética también requiere considerar que la participación ciudadana debe desarrollarse en condiciones que respeten a las personas y sus aportes. Desde la psicología, se recomienda informar claramente a los participantes sobre la finalidad de las actividades, el uso de la información que proporcionan y las condiciones de participación. Cuando se recojan datos personales mediante encuestas, entrevistas o registros de usuarios, deberán establecerse las medidas de consentimiento, confidencialidad y protección correspondientes. Asimismo, se propone habilitar mecanismos de retroalimentación que permitan reportar dificultades, expresar inquietudes y solicitar la revisión de resultados. Estas medidas contribuirían a fortalecer la confianza informada y a reconocer a los ciudadanos como participantes activos en el proceso de generación de conocimiento.</w:t>
      </w:r>
    </w:p>
    <w:p w14:paraId="58692EA0" w14:textId="77777777" w:rsidR="004C7E94" w:rsidRPr="004C7E94" w:rsidRDefault="004C7E94" w:rsidP="004C7E94">
      <w:r w:rsidRPr="004C7E94">
        <w:t>En conclusión, la psicología puede contribuir al desarrollo de la PITB Antioquia mediante la comprensión de los factores que influyen en el comportamiento ambiental, la participación ciudadana y la interpretación de la información generada por inteligencia artificial. Los aportes de la psicología ambiental, la teoría del comportamiento planificado y la psicología cognitiva ofrecen fundamentos para formular estrategias de sensibilización, evaluar las barreras de participación y favorecer una relación crítica y equilibrada con la tecnología. A su vez, la reflexión ética permite reconocer la importancia de la autonomía, la confianza informada, la accesibilidad y el respeto por las personas participantes. De esta manera, la incorporación de la perspectiva psicológica busca complementar el funcionamiento tecnológico de la plataforma con una comprensión de las necesidades, percepciones y conductas humanas. La pertinencia y efectividad de estas propuestas deberán evaluarse mediante la investigación desarrollada durante la fase piloto.</w:t>
      </w:r>
    </w:p>
    <w:p w14:paraId="562E92F4" w14:textId="77777777" w:rsidR="004C7E94" w:rsidRPr="004C7E94" w:rsidRDefault="004C7E94" w:rsidP="004C7E94">
      <w:pPr>
        <w:rPr>
          <w:b/>
          <w:bCs/>
        </w:rPr>
      </w:pPr>
      <w:r w:rsidRPr="004C7E94">
        <w:rPr>
          <w:b/>
          <w:bCs/>
        </w:rPr>
        <w:t>Referencias</w:t>
      </w:r>
    </w:p>
    <w:p w14:paraId="53C88AE2" w14:textId="77777777" w:rsidR="004C7E94" w:rsidRPr="004C7E94" w:rsidRDefault="004C7E94" w:rsidP="004C7E94">
      <w:r w:rsidRPr="004C7E94">
        <w:t xml:space="preserve">Ajzen, I. (1991). The theory of planned behavior. </w:t>
      </w:r>
      <w:r w:rsidRPr="004C7E94">
        <w:rPr>
          <w:i/>
          <w:iCs/>
        </w:rPr>
        <w:t>Organizational Behavior and Human Decision Processes, 50</w:t>
      </w:r>
      <w:r w:rsidRPr="004C7E94">
        <w:t xml:space="preserve">(2), 179–211. </w:t>
      </w:r>
      <w:hyperlink r:id="rId4" w:history="1">
        <w:r w:rsidRPr="004C7E94">
          <w:rPr>
            <w:rStyle w:val="Hipervnculo"/>
          </w:rPr>
          <w:t>https://doi.org/10.1016/0749-5978(91)90020-T</w:t>
        </w:r>
      </w:hyperlink>
    </w:p>
    <w:p w14:paraId="4F84DDB0" w14:textId="77777777" w:rsidR="004C7E94" w:rsidRPr="004C7E94" w:rsidRDefault="004C7E94" w:rsidP="004C7E94">
      <w:r w:rsidRPr="004C7E94">
        <w:t xml:space="preserve">Gifford, R. (2014). Environmental psychology matters. </w:t>
      </w:r>
      <w:r w:rsidRPr="004C7E94">
        <w:rPr>
          <w:i/>
          <w:iCs/>
        </w:rPr>
        <w:t>Annual Review of Psychology, 65</w:t>
      </w:r>
      <w:r w:rsidRPr="004C7E94">
        <w:t xml:space="preserve">, 541–579. </w:t>
      </w:r>
      <w:hyperlink r:id="rId5" w:history="1">
        <w:r w:rsidRPr="004C7E94">
          <w:rPr>
            <w:rStyle w:val="Hipervnculo"/>
          </w:rPr>
          <w:t>https://doi.org/10.1146/annurev-psych-010213-115048</w:t>
        </w:r>
      </w:hyperlink>
    </w:p>
    <w:p w14:paraId="37397DC2" w14:textId="77777777" w:rsidR="004C7E94" w:rsidRPr="004C7E94" w:rsidRDefault="004C7E94" w:rsidP="004C7E94">
      <w:r w:rsidRPr="004C7E94">
        <w:t xml:space="preserve">Kahneman, D. (2011). </w:t>
      </w:r>
      <w:r w:rsidRPr="004C7E94">
        <w:rPr>
          <w:i/>
          <w:iCs/>
        </w:rPr>
        <w:t>Thinking, fast and slow</w:t>
      </w:r>
      <w:r w:rsidRPr="004C7E94">
        <w:t>. Farrar, Straus and Giroux.</w:t>
      </w:r>
    </w:p>
    <w:p w14:paraId="339A46A1" w14:textId="77777777" w:rsidR="004C7E94" w:rsidRPr="004C7E94" w:rsidRDefault="004C7E94" w:rsidP="004C7E94">
      <w:r w:rsidRPr="004C7E94">
        <w:t xml:space="preserve">Kollmuss, A., &amp; Agyeman, J. (2002). Mind the gap: Why do people act environmentally and what are the barriers to pro-environmental behavior? </w:t>
      </w:r>
      <w:r w:rsidRPr="004C7E94">
        <w:rPr>
          <w:i/>
          <w:iCs/>
        </w:rPr>
        <w:t>Environmental Education Research, 8</w:t>
      </w:r>
      <w:r w:rsidRPr="004C7E94">
        <w:t xml:space="preserve">(3), 239–260. </w:t>
      </w:r>
      <w:hyperlink r:id="rId6" w:history="1">
        <w:r w:rsidRPr="004C7E94">
          <w:rPr>
            <w:rStyle w:val="Hipervnculo"/>
          </w:rPr>
          <w:t>https://doi.org/10.1080/13504620220145401</w:t>
        </w:r>
      </w:hyperlink>
    </w:p>
    <w:p w14:paraId="40946F72" w14:textId="77777777" w:rsidR="004C7E94" w:rsidRPr="004C7E94" w:rsidRDefault="004C7E94" w:rsidP="004C7E94">
      <w:r w:rsidRPr="004C7E94">
        <w:t xml:space="preserve">Lee, J. D., &amp; See, K. A. (2004). Trust in automation: Designing for appropriate reliance. </w:t>
      </w:r>
      <w:r w:rsidRPr="004C7E94">
        <w:rPr>
          <w:i/>
          <w:iCs/>
        </w:rPr>
        <w:t>Human Factors, 46</w:t>
      </w:r>
      <w:r w:rsidRPr="004C7E94">
        <w:t xml:space="preserve">(1), 50–80. </w:t>
      </w:r>
      <w:hyperlink r:id="rId7" w:history="1">
        <w:r w:rsidRPr="004C7E94">
          <w:rPr>
            <w:rStyle w:val="Hipervnculo"/>
          </w:rPr>
          <w:t>https://doi.org/10.1518/hfes.46.1.50_30392</w:t>
        </w:r>
      </w:hyperlink>
    </w:p>
    <w:p w14:paraId="26374F3F" w14:textId="77777777" w:rsidR="008D5790" w:rsidRDefault="008D5790"/>
    <w:sectPr w:rsidR="008D57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90"/>
    <w:rsid w:val="004C7E94"/>
    <w:rsid w:val="00570E48"/>
    <w:rsid w:val="008D5790"/>
    <w:rsid w:val="00AD68C1"/>
    <w:rsid w:val="00BF18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8CC5"/>
  <w15:chartTrackingRefBased/>
  <w15:docId w15:val="{24B94A13-2458-4CAD-984F-3F7E0BFC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5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5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57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57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57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57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57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57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57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57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57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57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57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57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57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57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57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5790"/>
    <w:rPr>
      <w:rFonts w:eastAsiaTheme="majorEastAsia" w:cstheme="majorBidi"/>
      <w:color w:val="272727" w:themeColor="text1" w:themeTint="D8"/>
    </w:rPr>
  </w:style>
  <w:style w:type="paragraph" w:styleId="Ttulo">
    <w:name w:val="Title"/>
    <w:basedOn w:val="Normal"/>
    <w:next w:val="Normal"/>
    <w:link w:val="TtuloCar"/>
    <w:uiPriority w:val="10"/>
    <w:qFormat/>
    <w:rsid w:val="008D5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57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57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57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5790"/>
    <w:pPr>
      <w:spacing w:before="160"/>
      <w:jc w:val="center"/>
    </w:pPr>
    <w:rPr>
      <w:i/>
      <w:iCs/>
      <w:color w:val="404040" w:themeColor="text1" w:themeTint="BF"/>
    </w:rPr>
  </w:style>
  <w:style w:type="character" w:customStyle="1" w:styleId="CitaCar">
    <w:name w:val="Cita Car"/>
    <w:basedOn w:val="Fuentedeprrafopredeter"/>
    <w:link w:val="Cita"/>
    <w:uiPriority w:val="29"/>
    <w:rsid w:val="008D5790"/>
    <w:rPr>
      <w:i/>
      <w:iCs/>
      <w:color w:val="404040" w:themeColor="text1" w:themeTint="BF"/>
    </w:rPr>
  </w:style>
  <w:style w:type="paragraph" w:styleId="Prrafodelista">
    <w:name w:val="List Paragraph"/>
    <w:basedOn w:val="Normal"/>
    <w:uiPriority w:val="34"/>
    <w:qFormat/>
    <w:rsid w:val="008D5790"/>
    <w:pPr>
      <w:ind w:left="720"/>
      <w:contextualSpacing/>
    </w:pPr>
  </w:style>
  <w:style w:type="character" w:styleId="nfasisintenso">
    <w:name w:val="Intense Emphasis"/>
    <w:basedOn w:val="Fuentedeprrafopredeter"/>
    <w:uiPriority w:val="21"/>
    <w:qFormat/>
    <w:rsid w:val="008D5790"/>
    <w:rPr>
      <w:i/>
      <w:iCs/>
      <w:color w:val="0F4761" w:themeColor="accent1" w:themeShade="BF"/>
    </w:rPr>
  </w:style>
  <w:style w:type="paragraph" w:styleId="Citadestacada">
    <w:name w:val="Intense Quote"/>
    <w:basedOn w:val="Normal"/>
    <w:next w:val="Normal"/>
    <w:link w:val="CitadestacadaCar"/>
    <w:uiPriority w:val="30"/>
    <w:qFormat/>
    <w:rsid w:val="008D5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5790"/>
    <w:rPr>
      <w:i/>
      <w:iCs/>
      <w:color w:val="0F4761" w:themeColor="accent1" w:themeShade="BF"/>
    </w:rPr>
  </w:style>
  <w:style w:type="character" w:styleId="Referenciaintensa">
    <w:name w:val="Intense Reference"/>
    <w:basedOn w:val="Fuentedeprrafopredeter"/>
    <w:uiPriority w:val="32"/>
    <w:qFormat/>
    <w:rsid w:val="008D5790"/>
    <w:rPr>
      <w:b/>
      <w:bCs/>
      <w:smallCaps/>
      <w:color w:val="0F4761" w:themeColor="accent1" w:themeShade="BF"/>
      <w:spacing w:val="5"/>
    </w:rPr>
  </w:style>
  <w:style w:type="character" w:styleId="Hipervnculo">
    <w:name w:val="Hyperlink"/>
    <w:basedOn w:val="Fuentedeprrafopredeter"/>
    <w:uiPriority w:val="99"/>
    <w:unhideWhenUsed/>
    <w:rsid w:val="004C7E94"/>
    <w:rPr>
      <w:color w:val="467886" w:themeColor="hyperlink"/>
      <w:u w:val="single"/>
    </w:rPr>
  </w:style>
  <w:style w:type="character" w:styleId="Mencinsinresolver">
    <w:name w:val="Unresolved Mention"/>
    <w:basedOn w:val="Fuentedeprrafopredeter"/>
    <w:uiPriority w:val="99"/>
    <w:semiHidden/>
    <w:unhideWhenUsed/>
    <w:rsid w:val="004C7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s://doi.org/10.1518/hfes.46.1.50_30392"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doi.org/10.1080/13504620220145401" TargetMode="External" /><Relationship Id="rId5" Type="http://schemas.openxmlformats.org/officeDocument/2006/relationships/hyperlink" Target="https://doi.org/10.1146/annurev-psych-010213-115048" TargetMode="External" /><Relationship Id="rId4" Type="http://schemas.openxmlformats.org/officeDocument/2006/relationships/hyperlink" Target="https://doi.org/10.1016/0749-5978(91)90020-T" TargetMode="Externa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1782</Words>
  <Characters>9804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stefany serna guerra</dc:creator>
  <cp:keywords/>
  <dc:description/>
  <cp:lastModifiedBy>Juan Sebastían Martínez Galeano</cp:lastModifiedBy>
  <cp:revision>2</cp:revision>
  <dcterms:created xsi:type="dcterms:W3CDTF">2026-10-17T01:52:00Z</dcterms:created>
  <dcterms:modified xsi:type="dcterms:W3CDTF">2026-10-17T01:52:00Z</dcterms:modified>
</cp:coreProperties>
</file>