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sz w:val="44"/>
        </w:rPr>
        <w:t>Evidence-Aware Claim-Level Hallucination Detection</w:t>
        <w:br/>
        <w:t>in Large Language Model Generated Text</w:t>
      </w:r>
    </w:p>
    <w:tbl>
      <w:tblPr>
        <w:tblW w:type="auto" w:w="0"/>
        <w:jc w:val="center"/>
        <w:tblLayout w:type="autofit"/>
        <w:tblLook w:firstColumn="1" w:firstRow="1" w:lastColumn="0" w:lastRow="0" w:noHBand="0" w:noVBand="1" w:val="04A0"/>
      </w:tblPr>
      <w:tblGrid>
        <w:gridCol w:w="3360"/>
        <w:gridCol w:w="3360"/>
        <w:gridCol w:w="3360"/>
      </w:tblGrid>
      <w:tr>
        <w:tc>
          <w:tcPr>
            <w:tcW w:type="dxa" w:w="3312"/>
          </w:tcPr>
          <w:p>
            <w:pPr>
              <w:spacing w:after="40"/>
              <w:jc w:val="center"/>
            </w:pPr>
            <w:r>
              <w:rPr>
                <w:rFonts w:ascii="Times New Roman" w:hAnsi="Times New Roman"/>
                <w:b/>
                <w:sz w:val="22"/>
              </w:rPr>
              <w:t>Mokshdaa Gupta</w:t>
            </w:r>
          </w:p>
          <w:p>
            <w:pPr>
              <w:spacing w:after="160" w:line="240" w:lineRule="auto"/>
              <w:jc w:val="center"/>
            </w:pPr>
            <w:r>
              <w:rPr>
                <w:rFonts w:ascii="Times New Roman" w:hAnsi="Times New Roman"/>
                <w:i/>
                <w:sz w:val="17"/>
              </w:rPr>
              <w:t>Reg. No. 24BCE5095</w:t>
              <w:br/>
              <w:t>School of Computer Science &amp; Eng.</w:t>
              <w:br/>
              <w:t>Vellore Institute of Technology</w:t>
              <w:br/>
              <w:t>Chennai, Tamil Nadu, India</w:t>
              <w:br/>
              <w:t>mokshdaagupta22@gmail.com</w:t>
            </w:r>
          </w:p>
        </w:tc>
        <w:tc>
          <w:tcPr>
            <w:tcW w:type="dxa" w:w="3312"/>
          </w:tcPr>
          <w:p>
            <w:pPr>
              <w:spacing w:after="40"/>
              <w:jc w:val="center"/>
            </w:pPr>
            <w:r>
              <w:rPr>
                <w:rFonts w:ascii="Times New Roman" w:hAnsi="Times New Roman"/>
                <w:b/>
                <w:sz w:val="22"/>
              </w:rPr>
              <w:t>Riya Mhalgi</w:t>
            </w:r>
          </w:p>
          <w:p>
            <w:pPr>
              <w:spacing w:after="160" w:line="240" w:lineRule="auto"/>
              <w:jc w:val="center"/>
            </w:pPr>
            <w:r>
              <w:rPr>
                <w:rFonts w:ascii="Times New Roman" w:hAnsi="Times New Roman"/>
                <w:i/>
                <w:sz w:val="17"/>
              </w:rPr>
              <w:t>Reg. No. 24BCE1766</w:t>
              <w:br/>
              <w:t>School of Computer Science &amp; Eng.</w:t>
              <w:br/>
              <w:t>Vellore Institute of Technology</w:t>
              <w:br/>
              <w:t>Chennai, Tamil Nadu, India</w:t>
              <w:br/>
              <w:t>riyamhalgi08@gmail.com</w:t>
            </w:r>
          </w:p>
        </w:tc>
        <w:tc>
          <w:tcPr>
            <w:tcW w:type="dxa" w:w="3312"/>
          </w:tcPr>
          <w:p>
            <w:pPr>
              <w:spacing w:after="40"/>
              <w:jc w:val="center"/>
            </w:pPr>
            <w:r>
              <w:rPr>
                <w:rFonts w:ascii="Times New Roman" w:hAnsi="Times New Roman"/>
                <w:b/>
                <w:sz w:val="22"/>
              </w:rPr>
              <w:t>Anirudh Pisharady</w:t>
            </w:r>
          </w:p>
          <w:p>
            <w:pPr>
              <w:spacing w:after="160" w:line="240" w:lineRule="auto"/>
              <w:jc w:val="center"/>
            </w:pPr>
            <w:r>
              <w:rPr>
                <w:rFonts w:ascii="Times New Roman" w:hAnsi="Times New Roman"/>
                <w:i/>
                <w:sz w:val="17"/>
              </w:rPr>
              <w:t>Reg. No. 24BCE1805</w:t>
              <w:br/>
              <w:t>School of Computer Science &amp; Eng.</w:t>
              <w:br/>
              <w:t>Vellore Institute of Technology</w:t>
              <w:br/>
              <w:t>Chennai, Tamil Nadu, India</w:t>
              <w:br/>
              <w:t>anirudh.pisharady@vitstudent.ac.in</w:t>
            </w:r>
          </w:p>
        </w:tc>
      </w:tr>
    </w:tbl>
    <w:p>
      <w:pPr>
        <w:spacing w:after="280"/>
        <w:jc w:val="center"/>
      </w:pPr>
      <w:r>
        <w:rPr>
          <w:rFonts w:ascii="Times New Roman" w:hAnsi="Times New Roman"/>
          <w:b/>
          <w:color w:val="4F46E5"/>
          <w:sz w:val="18"/>
        </w:rPr>
        <w:t>Course: BCSE306L — Natural Language Processing | Faculty Guide: Dr. Vijayaprabakaran K</w:t>
      </w:r>
    </w:p>
    <w:p>
      <w:pPr>
        <w:spacing w:before="120" w:after="80" w:line="252" w:lineRule="auto"/>
        <w:jc w:val="both"/>
      </w:pPr>
      <w:r>
        <w:rPr>
          <w:rFonts w:ascii="Times New Roman" w:hAnsi="Times New Roman"/>
          <w:b/>
          <w:sz w:val="19"/>
        </w:rPr>
        <w:t>Abstract—</w:t>
      </w:r>
      <w:r>
        <w:rPr>
          <w:rFonts w:ascii="Times New Roman" w:hAnsi="Times New Roman"/>
          <w:i/>
          <w:sz w:val="19"/>
        </w:rPr>
        <w:t>Large Language Models (LLMs) frequently generate syntactically fluent assertions that contain fabricated or contradictory statements, known as hallucinations. Evaluating full responses monolithically obscures which specific clauses are erroneous, while reference-free consistency metrics fail when models reproduce entrenched parametric misconceptions. This paper addresses the evidence sufficiency gap: the erroneous assumption in retrieval-augmented evaluation that evidence merely topically similar to a claim constitutes factual support. We propose an open-source, evidence-aware claim-level verification architecture that decomposes generation outputs into atomic factual assertions, executes dense passage retrieval across pooled distractors, and verifies each proposition using cross-encoder Natural Language Inference (NLI) coupled with calibrated threshold gating. Evaluated on 500 held-out FEVER claims with provided evidence, NLI verification achieves 83.40% accuracy (0.8361 macro-F1), whereas semantic similarity alone drops to 30.60%, blindly predicting support for refutations. Statistical McNemar testing reveals that similarity gating provides no significant gain over pure NLI (p = 1.0000), confirming that entailment logic, not lexical similarity, is strictly necessary. On multi-document HaluEval summarization, claim-level verification boosts strict pairwise accuracy from 20.0% to 70.0% (+0.22 AUROC gain) over monolithic baselines.</w:t>
      </w:r>
    </w:p>
    <w:p>
      <w:pPr>
        <w:spacing w:after="280"/>
        <w:jc w:val="both"/>
      </w:pPr>
      <w:r>
        <w:rPr>
          <w:rFonts w:ascii="Times New Roman" w:hAnsi="Times New Roman"/>
          <w:b/>
          <w:sz w:val="19"/>
        </w:rPr>
        <w:t>Index Terms—</w:t>
      </w:r>
      <w:r>
        <w:rPr>
          <w:rFonts w:ascii="Times New Roman" w:hAnsi="Times New Roman"/>
          <w:i/>
          <w:sz w:val="19"/>
        </w:rPr>
        <w:t>Hallucination Detection, Atomic Claim Decomposition, Natural Language Inference, Fact Verification, Dense Passage Retrieval, Large Language Models.</w:t>
      </w:r>
    </w:p>
    <w:p>
      <w:pPr>
        <w:spacing w:before="280" w:after="120"/>
        <w:jc w:val="center"/>
      </w:pPr>
      <w:r>
        <w:rPr>
          <w:rFonts w:ascii="Times New Roman" w:hAnsi="Times New Roman"/>
          <w:b/>
          <w:sz w:val="21"/>
        </w:rPr>
        <w:t>I. INTRODUCTION</w:t>
      </w:r>
    </w:p>
    <w:p>
      <w:pPr>
        <w:spacing w:before="180" w:after="60"/>
        <w:jc w:val="left"/>
      </w:pPr>
      <w:r>
        <w:rPr>
          <w:rFonts w:ascii="Times New Roman" w:hAnsi="Times New Roman"/>
          <w:b/>
          <w:i/>
          <w:sz w:val="20"/>
        </w:rPr>
        <w:t>A. Problem Domain</w:t>
      </w:r>
    </w:p>
    <w:p>
      <w:pPr>
        <w:spacing w:after="80" w:line="252" w:lineRule="auto"/>
        <w:jc w:val="both"/>
      </w:pPr>
      <w:r>
        <w:rPr>
          <w:rFonts w:ascii="Times New Roman" w:hAnsi="Times New Roman"/>
          <w:sz w:val="20"/>
        </w:rPr>
        <w:t>Autoregressive Large Language Models (LLMs)—including proprietary systems such as GPT-4 and open-weight architectures such as LLaMA-3—have become central tools across academic literature synthesis, technical documentation, clinical assistance, automated journalism, and legal informatics. While these models generate coherent and grammatically pristine prose, they fundamentally operate via probabilistic token prediction without an intrinsic truth representation. Consequently, LLMs routinely generate statements that are ungrounded in factual reality or directly contradict established evidence—a vulnerability formally characterized as hallucination.</w:t>
      </w:r>
    </w:p>
    <w:p>
      <w:pPr>
        <w:spacing w:after="80" w:line="252" w:lineRule="auto"/>
        <w:jc w:val="both"/>
      </w:pPr>
      <w:r>
        <w:rPr>
          <w:rFonts w:ascii="Times New Roman" w:hAnsi="Times New Roman"/>
          <w:sz w:val="20"/>
        </w:rPr>
        <w:t>The prevalence and severity of this phenomenon are substantial across practical NLP workflows: (1) In abstractive summarization, empirical human evaluations by Maynez et al. demonstrate that over 70% of neural summaries contain hallucinated facts, with even state-of-the-art transformer baselines generating faithful and factual content only 34.7% of the time. (2) In long-form biography generation, fine-grained atomic fact evaluations via FActScore by Min et al. reveal that LLM factual precision hovers between 60% and 70%, meaning roughly one out of every three factual claims made by an LLM is false or unverifiable. (3) In clinical and medical documentation, ungrounded assertions create severe safety risks, making the automated detection and auditing of hallucinations an urgent requirement for trustworthy AI deployment.</w:t>
      </w:r>
    </w:p>
    <w:p>
      <w:pPr>
        <w:spacing w:before="180" w:after="60"/>
        <w:jc w:val="left"/>
      </w:pPr>
      <w:r>
        <w:rPr>
          <w:rFonts w:ascii="Times New Roman" w:hAnsi="Times New Roman"/>
          <w:b/>
          <w:i/>
          <w:sz w:val="20"/>
        </w:rPr>
        <w:t>B. Key Problem Addressed</w:t>
      </w:r>
    </w:p>
    <w:p>
      <w:pPr>
        <w:spacing w:after="80" w:line="252" w:lineRule="auto"/>
        <w:jc w:val="both"/>
      </w:pPr>
      <w:r>
        <w:rPr>
          <w:rFonts w:ascii="Times New Roman" w:hAnsi="Times New Roman"/>
          <w:sz w:val="20"/>
        </w:rPr>
        <w:t>Existing hallucination detection approaches suffer from two fundamental architectural shortcomings: (1) Monolithic Paragraph Obscurity: Most conventional detectors evaluate an entire response as a single, indivisible text block. In realistic conversational or summarization outputs, an LLM typically interleaves multiple accurate statements with an isolated erroneous date, name, or numerical quantity. Monolithic classifiers output a single coarse score (e.g., 75% hallucinated), which obscures which specific sentence is incorrect and forces human evaluators to manually audit the entire paragraph. (2) The Evidence Sufficiency Gap: In retrieval-augmented verification, existing frameworks frequently treat high semantic or lexical similarity between a claim and retrieved text as sufficient evidence of factual support. For instance, the claim 'Marie Curie was born in Paris' shares nearly identical lexical tokens and high cosine embedding similarity with the encyclopedic premise 'Marie Curie was born in Warsaw, Poland and later moved to Paris'. A similarity-based detector incorrectly marks this claim as Supported. Treating similarity as support creates systematic, dangerous false positives.</w:t>
      </w:r>
    </w:p>
    <w:p>
      <w:pPr>
        <w:spacing w:before="180" w:after="60"/>
        <w:jc w:val="left"/>
      </w:pPr>
      <w:r>
        <w:rPr>
          <w:rFonts w:ascii="Times New Roman" w:hAnsi="Times New Roman"/>
          <w:b/>
          <w:i/>
          <w:sz w:val="20"/>
        </w:rPr>
        <w:t>C. Existing Solutions</w:t>
      </w:r>
    </w:p>
    <w:p>
      <w:pPr>
        <w:spacing w:after="80" w:line="252" w:lineRule="auto"/>
        <w:jc w:val="both"/>
      </w:pPr>
      <w:r>
        <w:rPr>
          <w:rFonts w:ascii="Times New Roman" w:hAnsi="Times New Roman"/>
          <w:sz w:val="20"/>
        </w:rPr>
        <w:t>Prior hallucination detection systems divide broadly into two methodological categories: (1) Reference-Free Stochastic Consistency Methods: Frameworks such as SelfCheckGPT (Manakul et al.) and Semantic Entropy (Farquhar et al.) query the generative LLM multiple times across stochastic temperature settings to evaluate divergence across sampled completions. While reference-free methods require no external knowledge base, they suffer from a fatal blind spot: when an LLM holds an entrenched parametric bias or repeats a widely circulated historical misconception (e.g., 'humans only use 10% of their brains'), it regenerates the identical hallucination across every stochastic sample, leading to complete detection failure. (2) Retrieval-Augmented Verification Systems: Frameworks such as FActScore (Min et al.), REFIND (Lee and Yu), FAVA (Mishra et al.), and MRR-FV (Zheng et al.) retrieve external documents to verify text. However, commercial agentic implementations rely on proprietary search engines and multi-turn black-box LLM judges, incurring extreme runtime latency (&gt;15 seconds per response) and recurring API costs. Moreover, existing retrieval pipelines rarely isolate the standalone contribution of similarity versus logical entailment within a controlled ablation framework.</w:t>
      </w:r>
    </w:p>
    <w:p>
      <w:pPr>
        <w:spacing w:before="180" w:after="60"/>
        <w:jc w:val="left"/>
      </w:pPr>
      <w:r>
        <w:rPr>
          <w:rFonts w:ascii="Times New Roman" w:hAnsi="Times New Roman"/>
          <w:b/>
          <w:i/>
          <w:sz w:val="20"/>
        </w:rPr>
        <w:t>D. Proposed Solution</w:t>
      </w:r>
    </w:p>
    <w:p>
      <w:pPr>
        <w:spacing w:after="80" w:line="252" w:lineRule="auto"/>
        <w:jc w:val="both"/>
      </w:pPr>
      <w:r>
        <w:rPr>
          <w:rFonts w:ascii="Times New Roman" w:hAnsi="Times New Roman"/>
          <w:sz w:val="20"/>
        </w:rPr>
        <w:t>To overcome these limitations, we propose an open-source, evidence-aware claim-level verification architecture operating through four coordinated stages: (1) Syntactic Atomic Claim Decomposition: Parses unstructured LLM responses into discrete, self-contained atomic propositions using deterministic clause-splitting rules and part-of-speech guards, eliminating pronoun ambiguity without expensive LLM prompting. (2) Dense Passage Retrieval: Encodes evidence corpora using a lightweight bi-encoder (all-MiniLM-L6-v2) and executes sub-linear cosine nearest-neighbor search across distractor-rich passage pools. (3) Bidirectional Cross-Encoder NLI Verification: Evaluates candidate claim–evidence pairs through a bidirectional cross-attention model (DeBERTa-v3), yielding calibrated probabilities for Entailment, Contradiction, and Neutral classes. (4) Dynamic Threshold Fusion and Adaptive Scalar Reasoning: Replaces naive argmax classification with calibrated asymmetric thresholds and an adaptive numerical reasoning module that handles scalar subsumption (e.g., confirming that possessing 20 items entails possessing 5 items).</w:t>
      </w:r>
    </w:p>
    <w:p>
      <w:pPr>
        <w:spacing w:before="180" w:after="60"/>
        <w:jc w:val="left"/>
      </w:pPr>
      <w:r>
        <w:rPr>
          <w:rFonts w:ascii="Times New Roman" w:hAnsi="Times New Roman"/>
          <w:b/>
          <w:i/>
          <w:sz w:val="20"/>
        </w:rPr>
        <w:t>E. Contributions of this Research</w:t>
      </w:r>
    </w:p>
    <w:p>
      <w:pPr>
        <w:spacing w:after="80" w:line="252" w:lineRule="auto"/>
        <w:jc w:val="both"/>
      </w:pPr>
      <w:r>
        <w:rPr>
          <w:rFonts w:ascii="Times New Roman" w:hAnsi="Times New Roman"/>
          <w:sz w:val="20"/>
        </w:rPr>
        <w:t>This project delivers three primary scientific and practical contributions: (1) Open-Source Interpretable Claim-Level Framework: We construct a deterministic, CPU-compatible end-to-end verification pipeline that outputs granular, auditable claim -&gt; evidence -&gt; decision traces, accompanied by an interactive demonstration interface. (2) Empirical Isolation of the Evidence Sufficiency Gap: Through controlled ablations on 500 held-out FEVER claims, we demonstrate that semantic similarity alone completely fails to detect contradictions (30.60% accuracy, 0.00 Contradiction F1), whereas cross-encoder NLI achieves 83.40% accuracy (0.8361 Macro-F1). (3) Statistical Hypothesis Testing on Fusion and Decomposition: We provide empirical evidence that gating NLI on retrieval similarity provides no statistical benefit on gold evidence (McNemar p = 1.0000), while atomic decomposition dramatically improves multi-document summarization discrimination over monolithic baselines (boosting strict accuracy from 20.0% to 70.0% and AUROC by +0.22 on HaluEval).</w:t>
      </w:r>
    </w:p>
    <w:p>
      <w:pPr>
        <w:spacing w:before="280" w:after="120"/>
        <w:jc w:val="center"/>
      </w:pPr>
      <w:r>
        <w:rPr>
          <w:rFonts w:ascii="Times New Roman" w:hAnsi="Times New Roman"/>
          <w:b/>
          <w:sz w:val="21"/>
        </w:rPr>
        <w:t>II. LITERATURE SURVEY</w:t>
      </w:r>
    </w:p>
    <w:p>
      <w:pPr>
        <w:spacing w:after="80" w:line="252" w:lineRule="auto"/>
        <w:jc w:val="both"/>
      </w:pPr>
      <w:r>
        <w:rPr>
          <w:rFonts w:ascii="Times New Roman" w:hAnsi="Times New Roman"/>
          <w:sz w:val="20"/>
        </w:rPr>
        <w:t>To contextualize our architecture, we conducted an extensive survey of fifteen foundational and contemporary research works from prominent NLP venues (ACL, EMNLP, NAACL, ICLR, Nature, AAAI, and npj Digital Medicine). We categorize these works across four methodological paradigms: (A) Factuality Benchmarks and Evaluation Metrics, (B) Reference-Free and Representation-Based Detection, (C) Retrieval-Augmented and Verification Systems, and (D) Decoding-Time Mitigations and Systematic Surveys.</w:t>
      </w:r>
    </w:p>
    <w:p>
      <w:pPr>
        <w:spacing w:before="180" w:after="60"/>
        <w:jc w:val="left"/>
      </w:pPr>
      <w:r>
        <w:rPr>
          <w:rFonts w:ascii="Times New Roman" w:hAnsi="Times New Roman"/>
          <w:b/>
          <w:i/>
          <w:sz w:val="20"/>
        </w:rPr>
        <w:t>A. Factuality Benchmarks and Evaluation Metrics</w:t>
      </w:r>
    </w:p>
    <w:p>
      <w:pPr>
        <w:spacing w:after="80" w:line="252" w:lineRule="auto"/>
        <w:jc w:val="both"/>
      </w:pPr>
      <w:r>
        <w:rPr>
          <w:rFonts w:ascii="Times New Roman" w:hAnsi="Times New Roman"/>
          <w:sz w:val="20"/>
        </w:rPr>
        <w:t>1. Min et al. (FActScore, EMNLP 2023) [1]: Min et al. introduced FActScore, an evaluation metric that breaks long-form biography generations into atomic propositions and verifies each assertion against Wikipedia evidence using prompting or fine-tuned retrieval. Evaluating commercial and open-source models (including InstructGPT and LLaMA), they observed factual precision ranging between 56.4% and 70.0% in open-ended biographical generation. While FActScore established the importance of atomic granularity, it functions strictly as a post-hoc evaluation metric rather than a real-time, low-latency hallucination detector, and remains dependent on full Wikipedia retrieval access.</w:t>
      </w:r>
    </w:p>
    <w:p>
      <w:pPr>
        <w:spacing w:after="80" w:line="252" w:lineRule="auto"/>
        <w:jc w:val="both"/>
      </w:pPr>
      <w:r>
        <w:rPr>
          <w:rFonts w:ascii="Times New Roman" w:hAnsi="Times New Roman"/>
          <w:sz w:val="20"/>
        </w:rPr>
        <w:t>2. Maynez et al. (Faithfulness and Factuality in Summarization, ACL 2020) [2]: Maynez et al. executed a landmark large-scale human study auditing abstractive summarization across RNN, CNN, and early Transformer architectures on the XSum benchmark (500 human-annotated BBC articles). Their findings revealed that over 70% of neural summaries suffered from factual hallucinations, with the highest-performing model producing factual and faithful text only 34.7% of the time. While demonstrating that natural language inference (NLI) metrics correlate substantially better with human factuality judgments than n-gram overlap metrics (ROUGE), their study highlighted that entailment metrics suffer from error propagation when reference texts are incomplete.</w:t>
      </w:r>
    </w:p>
    <w:p>
      <w:pPr>
        <w:spacing w:after="80" w:line="252" w:lineRule="auto"/>
        <w:jc w:val="both"/>
      </w:pPr>
      <w:r>
        <w:rPr>
          <w:rFonts w:ascii="Times New Roman" w:hAnsi="Times New Roman"/>
          <w:sz w:val="20"/>
        </w:rPr>
        <w:t>3. Thorne et al. (FEVER Benchmark, NAACL 2018) [3]: Thorne et al. formalized the canonical fact extraction and verification task through the FEVER dataset, comprising 185,445 human-crafted claims classified as Supported, Refuted, or NotEnoughInfo against Wikipedia page extracts. FEVER established standard three-class classification baselines, scoring pipeline accuracies near 64.21%. However, FEVER claims are short, artificially modified sentences written by human crowdworkers to test fact-checkers, differing fundamentally from the complex, fluent, multi-clause hallucinations generated organically by modern LLMs.</w:t>
      </w:r>
    </w:p>
    <w:p>
      <w:pPr>
        <w:spacing w:after="80" w:line="252" w:lineRule="auto"/>
        <w:jc w:val="both"/>
      </w:pPr>
      <w:r>
        <w:rPr>
          <w:rFonts w:ascii="Times New Roman" w:hAnsi="Times New Roman"/>
          <w:sz w:val="20"/>
        </w:rPr>
        <w:t>4. Li et al. (HaluEval Benchmark, EMNLP 2023) [4]: Li et al. constructed HaluEval, a large-scale diagnostic benchmark containing 35,000 paired factual and hallucinated texts across question answering, dialogue, and text summarization generated via ChatGPT and validated by human evaluators. They discovered that off-the-shelf LLMs struggle to detect subtle hallucinations, achieving recognition accuracies that varied widely by task (58.5% on dialogue to 74.3% on general QA). While HaluEval provides a rigorous testbed for multi-document summarization, it exists purely as a benchmark dataset and does not propose an autonomous claim decomposition or retrieval architecture.</w:t>
      </w:r>
    </w:p>
    <w:p>
      <w:pPr>
        <w:spacing w:after="80" w:line="252" w:lineRule="auto"/>
        <w:jc w:val="both"/>
      </w:pPr>
      <w:r>
        <w:rPr>
          <w:rFonts w:ascii="Times New Roman" w:hAnsi="Times New Roman"/>
          <w:sz w:val="20"/>
        </w:rPr>
        <w:t>5. Asgari et al. (CREOLA Clinical Safety Framework, npj Digital Medicine 2025) [5]: Asgari et al. formulated CREOLA, a clinical safety assessment framework incorporating a multi-tier hallucination and omission taxonomy, an ISO-inspired clinical risk matrix, and a dedicated clinician annotation platform evaluated on medical consultation transcripts (PriMock57 and ACI-BENCH). They recorded baseline hallucination rates of 1.5% in medical dialogue summarization, of which 44% were severe clinical inaccuracies, showing that structured prompt engineering substantially mitigated major errors. However, CREOLA relies heavily on expensive manual clinician annotation and was evaluated exclusively on a closed proprietary model (GPT-4).</w:t>
      </w:r>
    </w:p>
    <w:p>
      <w:pPr>
        <w:spacing w:before="180" w:after="60"/>
        <w:jc w:val="left"/>
      </w:pPr>
      <w:r>
        <w:rPr>
          <w:rFonts w:ascii="Times New Roman" w:hAnsi="Times New Roman"/>
          <w:b/>
          <w:i/>
          <w:sz w:val="20"/>
        </w:rPr>
        <w:t>B. Reference-Free and Representation-Based Detection</w:t>
      </w:r>
    </w:p>
    <w:p>
      <w:pPr>
        <w:spacing w:after="80" w:line="252" w:lineRule="auto"/>
        <w:jc w:val="both"/>
      </w:pPr>
      <w:r>
        <w:rPr>
          <w:rFonts w:ascii="Times New Roman" w:hAnsi="Times New Roman"/>
          <w:sz w:val="20"/>
        </w:rPr>
        <w:t>6. Manakul et al. (SelfCheckGPT, EMNLP 2023) [6]: Manakul et al. proposed SelfCheckGPT, a zero-resource black-box hallucination detection framework that evaluates consistency across multiple stochastic generations sampled at temperature T &gt; 0. By computing sentence-level BERTScore, question-answering overlap, and NLI disagreement across sampled completions, SelfCheckGPT outperformed grey-box baselines on WikiBio passages (achieving an AUC-PR of 82.7%). However, SelfCheckGPT operates without external evidence; consequently, when an LLM possesses entrenched parametric biases and confidently repeats the exact same erroneous token across all stochastic draws, SelfCheckGPT fails completely and cannot cite authoritative evidence.</w:t>
      </w:r>
    </w:p>
    <w:p>
      <w:pPr>
        <w:spacing w:after="80" w:line="252" w:lineRule="auto"/>
        <w:jc w:val="both"/>
      </w:pPr>
      <w:r>
        <w:rPr>
          <w:rFonts w:ascii="Times New Roman" w:hAnsi="Times New Roman"/>
          <w:sz w:val="20"/>
        </w:rPr>
        <w:t>7. Farquhar et al. (Semantic Entropy, Nature 2024) [7]: Farquhar et al. developed Semantic Entropy, an unsupervised method that detects LLM confabulations by clustering sampled responses based on bidirectional entailment and computing entropy over the resulting semantic clusters rather than naive token-level distributions. Evaluated across diverse question answering benchmarks (TriviaQA, CoQA), semantic entropy achieved high AUROC improvements without task-specific training data. Nevertheless, semantic entropy targets ungrounded model uncertainty rather than factual correctness; if an LLM is confidently wrong about an established fact, its semantic entropy remains low, yielding a false negative.</w:t>
      </w:r>
    </w:p>
    <w:p>
      <w:pPr>
        <w:spacing w:after="80" w:line="252" w:lineRule="auto"/>
        <w:jc w:val="both"/>
      </w:pPr>
      <w:r>
        <w:rPr>
          <w:rFonts w:ascii="Times New Roman" w:hAnsi="Times New Roman"/>
          <w:sz w:val="20"/>
        </w:rPr>
        <w:t>8. Orgad et al. (Hidden-State Probing, ICLR 2025) [8]: Orgad et al. investigated the internal representation of factual errors by training linear and non-linear probes on transformer hidden states across intermediate decoder layers. Their findings proved that LLMs frequently encode truthfulness signals in early and middle layer activations, outperforming surface token probabilities in identifying erroneous generations. However, internal probes exhibit poor out-of-distribution generalization across divergent linguistic domains, and their study confirmed that an LLM can internally 'know' the truth while still generating a hallucinated token.</w:t>
      </w:r>
    </w:p>
    <w:p>
      <w:pPr>
        <w:spacing w:before="180" w:after="60"/>
        <w:jc w:val="left"/>
      </w:pPr>
      <w:r>
        <w:rPr>
          <w:rFonts w:ascii="Times New Roman" w:hAnsi="Times New Roman"/>
          <w:b/>
          <w:i/>
          <w:sz w:val="20"/>
        </w:rPr>
        <w:t>C. Retrieval-Augmented and Verification Systems</w:t>
      </w:r>
    </w:p>
    <w:p>
      <w:pPr>
        <w:spacing w:after="80" w:line="252" w:lineRule="auto"/>
        <w:jc w:val="both"/>
      </w:pPr>
      <w:r>
        <w:rPr>
          <w:rFonts w:ascii="Times New Roman" w:hAnsi="Times New Roman"/>
          <w:sz w:val="20"/>
        </w:rPr>
        <w:t>9. Lee and Yu / Gekhman et al. (REFIND, SemEval-2025 Task 3) [9]: Gekhman et al. and Lee and Yu developed REFIND for SemEval-2025 Task 3, addressing multilingual hallucination detection across nine languages using a Context Sensitivity Ratio (CSR) that measures the divergence of output token probabilities when conditioned on retrieved evidence versus empty contexts. REFIND demonstrated substantial Intersection-over-Union (IoU) gains over span-level baselines on benchmark corpora. However, REFIND focuses strictly on character-level token span localization rather than structured, proposition-level factual verdicts with explicit audit traces.</w:t>
      </w:r>
    </w:p>
    <w:p>
      <w:pPr>
        <w:spacing w:after="80" w:line="252" w:lineRule="auto"/>
        <w:jc w:val="both"/>
      </w:pPr>
      <w:r>
        <w:rPr>
          <w:rFonts w:ascii="Times New Roman" w:hAnsi="Times New Roman"/>
          <w:sz w:val="20"/>
        </w:rPr>
        <w:t>10. Mishra et al. (FAVA Detect-and-Edit Model, arXiv 2024) [10]: Mishra et al. presented FAVA, which established a fine-grained six-type hallucination taxonomy (entity, relation, contradictory, uninvented, invent, and subjective) and trained a retrieval-augmented language model to jointly detect and edit errors on the FavaBench dataset (~1,000 human-annotated samples). FAVA surpassed ChatGPT and GPT-4 in fine-grained error localization and boosted post-editing FActScore by 5% to 10%. However, FAVA depends heavily on synthetic training perturbations that can diverge from naturalistic LLM errors and incurs significant latency due to multi-pass editing.</w:t>
      </w:r>
    </w:p>
    <w:p>
      <w:pPr>
        <w:spacing w:after="80" w:line="252" w:lineRule="auto"/>
        <w:jc w:val="both"/>
      </w:pPr>
      <w:r>
        <w:rPr>
          <w:rFonts w:ascii="Times New Roman" w:hAnsi="Times New Roman"/>
          <w:sz w:val="20"/>
        </w:rPr>
        <w:t>11. Zheng et al. (MRR-FV Multi-Hop Graph Reasoner, AAAI 2025) [11]: Zheng et al. introduced MRR-FV, an advanced fact verification framework that couples a generative multi-hop passage retriever with a hierarchical intra- and inter-sentence graph neural network reasoner. Evaluated on the FEVER test set and the complex HoVer multi-hop benchmark, MRR-FV achieved approximately 80.8% label accuracy on FEVER and a macro-F1 of 71.7% on 2-hop claims. While state-of-the-art on multi-step reasoning, MRR-FV suffers from extreme computational overhead and is highly sensitive to retrieval-hop hyperparameters, making it unsuitable for rapid, interactive verification.</w:t>
      </w:r>
    </w:p>
    <w:p>
      <w:pPr>
        <w:spacing w:before="180" w:after="60"/>
        <w:jc w:val="left"/>
      </w:pPr>
      <w:r>
        <w:rPr>
          <w:rFonts w:ascii="Times New Roman" w:hAnsi="Times New Roman"/>
          <w:b/>
          <w:i/>
          <w:sz w:val="20"/>
        </w:rPr>
        <w:t>D. Decoding Mitigations and Systematic Surveys</w:t>
      </w:r>
    </w:p>
    <w:p>
      <w:pPr>
        <w:spacing w:after="80" w:line="252" w:lineRule="auto"/>
        <w:jc w:val="both"/>
      </w:pPr>
      <w:r>
        <w:rPr>
          <w:rFonts w:ascii="Times New Roman" w:hAnsi="Times New Roman"/>
          <w:sz w:val="20"/>
        </w:rPr>
        <w:t>12. Chuang et al. (DoLa Contrastive Decoding, ICLR 2024) [12]: Chuang et al. proposed DoLa (Decoding by Contrasting Layers), an inference-time mitigation technique that contrasts the output logits of higher transformer layers against earlier intermediate layers to downweight superficial linguistic associations and amplify factual knowledge. Testing across TruthfulQA and FactorialQA, DoLa improved LLaMA-65B accuracy by 12 to 17 absolute points without external retrieval or retraining. While effective at generation time, DoLa cannot audit already generated text, cannot cite evidence, and does not evaluate claim-level truthfulness.</w:t>
      </w:r>
    </w:p>
    <w:p>
      <w:pPr>
        <w:spacing w:after="80" w:line="252" w:lineRule="auto"/>
        <w:jc w:val="both"/>
      </w:pPr>
      <w:r>
        <w:rPr>
          <w:rFonts w:ascii="Times New Roman" w:hAnsi="Times New Roman"/>
          <w:sz w:val="20"/>
        </w:rPr>
        <w:t>13. Wang et al. (Factuality of Large Language Models: A Survey, EMNLP Findings 2024) [13]: Wang et al. provided a comprehensive systematic survey of factuality evaluation methodologies, benchmark datasets, and knowledge enhancement mechanisms across open-domain generation, summarization, and dialogue. They mapped the structural trade-offs between intrinsic consistency and external retrieval, providing an overarching taxonomy of LLM hallucinations. As a survey, their work provides foundational orientation but introduces no novel empirical architecture or algorithmic ablation.</w:t>
      </w:r>
    </w:p>
    <w:p>
      <w:pPr>
        <w:spacing w:after="80" w:line="252" w:lineRule="auto"/>
        <w:jc w:val="both"/>
      </w:pPr>
      <w:r>
        <w:rPr>
          <w:rFonts w:ascii="Times New Roman" w:hAnsi="Times New Roman"/>
          <w:sz w:val="20"/>
        </w:rPr>
        <w:t>14. Li et al. (LLMs-as-Judges Survey, arXiv 2024) [14]: Li et al. cataloged methodologies for using advanced LLMs as autonomous evaluators across natural language generation tasks, providing an exhaustive audit of systematic judge biases, including position bias, verbosity bias, and self-enhancement preference. Their survey demonstrated that black-box LLM evaluators exhibit significant inconsistency across subtle logical refutations, directly motivating our decision to deploy a deterministic cross-encoder NLI verifier rather than an ungrounded prompted LLM judge.</w:t>
      </w:r>
    </w:p>
    <w:p>
      <w:pPr>
        <w:spacing w:after="80" w:line="252" w:lineRule="auto"/>
        <w:jc w:val="both"/>
      </w:pPr>
      <w:r>
        <w:rPr>
          <w:rFonts w:ascii="Times New Roman" w:hAnsi="Times New Roman"/>
          <w:sz w:val="20"/>
        </w:rPr>
        <w:t>15. Sharma (Retrieval-Augmented Generation Survey, ACM TOIS 2025) [15]: Sharma presented a comprehensive taxonomy of RAG architectures, classifying designs into retriever-centric, generator-centric, hybrid, and robustness-oriented configurations across multi-hop reasoning benchmarks (HotpotQA, 2WikiMultihopQA). The survey documented precision-versus-latency trade-offs and analyzed self-correcting RAG frameworks (e.g., Self-CRAG). As a meta-analysis, it highlights the open challenge of evidence quality and validates our focus on decoupling retrieval similarity from logical verification.</w:t>
      </w:r>
    </w:p>
    <w:p>
      <w:pPr>
        <w:spacing w:before="180" w:after="60"/>
        <w:jc w:val="left"/>
      </w:pPr>
      <w:r>
        <w:rPr>
          <w:rFonts w:ascii="Times New Roman" w:hAnsi="Times New Roman"/>
          <w:b/>
          <w:i/>
          <w:sz w:val="20"/>
        </w:rPr>
        <w:t>E. Research Evolution and Identified Gap</w:t>
      </w:r>
    </w:p>
    <w:p>
      <w:pPr>
        <w:spacing w:after="80" w:line="252" w:lineRule="auto"/>
        <w:jc w:val="both"/>
      </w:pPr>
      <w:r>
        <w:rPr>
          <w:rFonts w:ascii="Times New Roman" w:hAnsi="Times New Roman"/>
          <w:sz w:val="20"/>
        </w:rPr>
        <w:t>The chronological evolution of fact verification traces a distinct trajectory: from single-sentence Wikipedia verification (FEVER, 2018) and summarization faithfulness audits (Maynez et al., 2020), to reference-free sampling consistency checks (SelfCheckGPT, Semantic Entropy, 2023–2024) and complex multi-hop graph reasoning (MRR-FV, 2025). Across this evolution, a critical methodological gap remains unaddressed: the Evidence Sufficiency Gap. In existing retrieval-augmented pipelines, semantic similarity and natural language inference are routinely blended without isolating what each signal contributes. Practitioners frequently assume that high cosine similarity between an extracted claim and an evidence passage is indicative of factual support. However, topical similarity measures lexical closeness, not logical entailment. To our knowledge, no existing work has conducted a controlled, ablated study isolating similarity-only, NLI-only, and dynamically gated verification within a single claim-level architecture.</w:t>
      </w:r>
    </w:p>
    <w:p>
      <w:pPr>
        <w:spacing w:before="200" w:after="80"/>
        <w:jc w:val="center"/>
      </w:pPr>
      <w:r>
        <w:rPr>
          <w:rFonts w:ascii="Times New Roman" w:hAnsi="Times New Roman"/>
          <w:b/>
          <w:sz w:val="19"/>
        </w:rPr>
        <w:t>TABLE I</w:t>
        <w:br/>
        <w:t>METHODOLOGICAL COMPARISON OF REPRESENTATIVE FACTUALITY AND VERIFICATION FRAMEWORKS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1680"/>
        <w:gridCol w:w="1680"/>
        <w:gridCol w:w="1680"/>
        <w:gridCol w:w="1680"/>
        <w:gridCol w:w="1680"/>
        <w:gridCol w:w="1680"/>
      </w:tblGrid>
      <w:tr>
        <w:tc>
          <w:tcPr>
            <w:tcW w:type="dxa" w:w="1680"/>
            <w:shd w:fill="F1F5F9"/>
            <w:tcMar>
              <w:top w:w="120" w:type="dxa"/>
              <w:bottom w:w="120" w:type="dxa"/>
              <w:left w:w="140" w:type="dxa"/>
              <w:right w:w="140" w:type="dxa"/>
            </w:tcMar>
          </w:tcPr>
          <w:p>
            <w:pPr>
              <w:jc w:val="left"/>
            </w:pPr>
            <w:r>
              <w:rPr>
                <w:rFonts w:ascii="Times New Roman" w:hAnsi="Times New Roman"/>
                <w:b/>
                <w:sz w:val="17"/>
              </w:rPr>
              <w:t>Ref.</w:t>
            </w:r>
          </w:p>
        </w:tc>
        <w:tc>
          <w:tcPr>
            <w:tcW w:type="dxa" w:w="1680"/>
            <w:shd w:fill="F1F5F9"/>
            <w:tcMar>
              <w:top w:w="120" w:type="dxa"/>
              <w:bottom w:w="120" w:type="dxa"/>
              <w:left w:w="140" w:type="dxa"/>
              <w:right w:w="140" w:type="dxa"/>
            </w:tcMar>
          </w:tcPr>
          <w:p>
            <w:pPr>
              <w:jc w:val="left"/>
            </w:pPr>
            <w:r>
              <w:rPr>
                <w:rFonts w:ascii="Times New Roman" w:hAnsi="Times New Roman"/>
                <w:b/>
                <w:sz w:val="17"/>
              </w:rPr>
              <w:t>Framework</w:t>
            </w:r>
          </w:p>
        </w:tc>
        <w:tc>
          <w:tcPr>
            <w:tcW w:type="dxa" w:w="1680"/>
            <w:shd w:fill="F1F5F9"/>
            <w:tcMar>
              <w:top w:w="120" w:type="dxa"/>
              <w:bottom w:w="120" w:type="dxa"/>
              <w:left w:w="140" w:type="dxa"/>
              <w:right w:w="140" w:type="dxa"/>
            </w:tcMar>
          </w:tcPr>
          <w:p>
            <w:pPr>
              <w:jc w:val="left"/>
            </w:pPr>
            <w:r>
              <w:rPr>
                <w:rFonts w:ascii="Times New Roman" w:hAnsi="Times New Roman"/>
                <w:b/>
                <w:sz w:val="17"/>
              </w:rPr>
              <w:t>Venue &amp; Year</w:t>
            </w:r>
          </w:p>
        </w:tc>
        <w:tc>
          <w:tcPr>
            <w:tcW w:type="dxa" w:w="1680"/>
            <w:shd w:fill="F1F5F9"/>
            <w:tcMar>
              <w:top w:w="120" w:type="dxa"/>
              <w:bottom w:w="120" w:type="dxa"/>
              <w:left w:w="140" w:type="dxa"/>
              <w:right w:w="140" w:type="dxa"/>
            </w:tcMar>
          </w:tcPr>
          <w:p>
            <w:pPr>
              <w:jc w:val="left"/>
            </w:pPr>
            <w:r>
              <w:rPr>
                <w:rFonts w:ascii="Times New Roman" w:hAnsi="Times New Roman"/>
                <w:b/>
                <w:sz w:val="17"/>
              </w:rPr>
              <w:t>Method / Architecture</w:t>
            </w:r>
          </w:p>
        </w:tc>
        <w:tc>
          <w:tcPr>
            <w:tcW w:type="dxa" w:w="1680"/>
            <w:shd w:fill="F1F5F9"/>
            <w:tcMar>
              <w:top w:w="120" w:type="dxa"/>
              <w:bottom w:w="120" w:type="dxa"/>
              <w:left w:w="140" w:type="dxa"/>
              <w:right w:w="140" w:type="dxa"/>
            </w:tcMar>
          </w:tcPr>
          <w:p>
            <w:pPr>
              <w:jc w:val="left"/>
            </w:pPr>
            <w:r>
              <w:rPr>
                <w:rFonts w:ascii="Times New Roman" w:hAnsi="Times New Roman"/>
                <w:b/>
                <w:sz w:val="17"/>
              </w:rPr>
              <w:t>Key Metric &amp; Result</w:t>
            </w:r>
          </w:p>
        </w:tc>
        <w:tc>
          <w:tcPr>
            <w:tcW w:type="dxa" w:w="1680"/>
            <w:shd w:fill="F1F5F9"/>
            <w:tcMar>
              <w:top w:w="120" w:type="dxa"/>
              <w:bottom w:w="120" w:type="dxa"/>
              <w:left w:w="140" w:type="dxa"/>
              <w:right w:w="140" w:type="dxa"/>
            </w:tcMar>
          </w:tcPr>
          <w:p>
            <w:pPr>
              <w:jc w:val="left"/>
            </w:pPr>
            <w:r>
              <w:rPr>
                <w:rFonts w:ascii="Times New Roman" w:hAnsi="Times New Roman"/>
                <w:b/>
                <w:sz w:val="17"/>
              </w:rPr>
              <w:t>Stated Limitation</w:t>
            </w:r>
          </w:p>
        </w:tc>
      </w:tr>
      <w:tr>
        <w:tc>
          <w:tcPr>
            <w:tcW w:type="dxa" w:w="1680"/>
            <w:tcMar>
              <w:top w:w="80" w:type="dxa"/>
              <w:bottom w:w="80" w:type="dxa"/>
              <w:left w:w="120" w:type="dxa"/>
              <w:right w:w="120" w:type="dxa"/>
            </w:tcMar>
            <w:shd w:fill="FAFAFA"/>
          </w:tcPr>
          <w:p>
            <w:pPr>
              <w:jc w:val="left"/>
            </w:pPr>
            <w:r>
              <w:rPr>
                <w:rFonts w:ascii="Times New Roman" w:hAnsi="Times New Roman"/>
                <w:b/>
                <w:sz w:val="16"/>
              </w:rPr>
              <w:t>[1]</w:t>
            </w:r>
          </w:p>
        </w:tc>
        <w:tc>
          <w:tcPr>
            <w:tcW w:type="dxa" w:w="1680"/>
            <w:tcMar>
              <w:top w:w="80" w:type="dxa"/>
              <w:bottom w:w="80" w:type="dxa"/>
              <w:left w:w="120" w:type="dxa"/>
              <w:right w:w="120" w:type="dxa"/>
            </w:tcMar>
            <w:shd w:fill="FAFAFA"/>
          </w:tcPr>
          <w:p>
            <w:pPr>
              <w:jc w:val="left"/>
            </w:pPr>
            <w:r>
              <w:rPr>
                <w:rFonts w:ascii="Times New Roman" w:hAnsi="Times New Roman"/>
                <w:sz w:val="16"/>
              </w:rPr>
              <w:t>FActScore (Min et al.)</w:t>
            </w:r>
          </w:p>
        </w:tc>
        <w:tc>
          <w:tcPr>
            <w:tcW w:type="dxa" w:w="1680"/>
            <w:tcMar>
              <w:top w:w="80" w:type="dxa"/>
              <w:bottom w:w="80" w:type="dxa"/>
              <w:left w:w="120" w:type="dxa"/>
              <w:right w:w="120" w:type="dxa"/>
            </w:tcMar>
            <w:shd w:fill="FAFAFA"/>
          </w:tcPr>
          <w:p>
            <w:pPr>
              <w:jc w:val="left"/>
            </w:pPr>
            <w:r>
              <w:rPr>
                <w:rFonts w:ascii="Times New Roman" w:hAnsi="Times New Roman"/>
                <w:sz w:val="16"/>
              </w:rPr>
              <w:t>EMNLP 2023</w:t>
            </w:r>
          </w:p>
        </w:tc>
        <w:tc>
          <w:tcPr>
            <w:tcW w:type="dxa" w:w="1680"/>
            <w:tcMar>
              <w:top w:w="80" w:type="dxa"/>
              <w:bottom w:w="80" w:type="dxa"/>
              <w:left w:w="120" w:type="dxa"/>
              <w:right w:w="120" w:type="dxa"/>
            </w:tcMar>
            <w:shd w:fill="FAFAFA"/>
          </w:tcPr>
          <w:p>
            <w:pPr>
              <w:jc w:val="left"/>
            </w:pPr>
            <w:r>
              <w:rPr>
                <w:rFonts w:ascii="Times New Roman" w:hAnsi="Times New Roman"/>
                <w:sz w:val="16"/>
              </w:rPr>
              <w:t>Atomic decomposition + retrieval check against Wikipedia</w:t>
            </w:r>
          </w:p>
        </w:tc>
        <w:tc>
          <w:tcPr>
            <w:tcW w:type="dxa" w:w="1680"/>
            <w:tcMar>
              <w:top w:w="80" w:type="dxa"/>
              <w:bottom w:w="80" w:type="dxa"/>
              <w:left w:w="120" w:type="dxa"/>
              <w:right w:w="120" w:type="dxa"/>
            </w:tcMar>
            <w:shd w:fill="FAFAFA"/>
          </w:tcPr>
          <w:p>
            <w:pPr>
              <w:jc w:val="left"/>
            </w:pPr>
            <w:r>
              <w:rPr>
                <w:rFonts w:ascii="Times New Roman" w:hAnsi="Times New Roman"/>
                <w:sz w:val="16"/>
              </w:rPr>
              <w:t>Factual precision 56.4%–70.0% on biographies</w:t>
            </w:r>
          </w:p>
        </w:tc>
        <w:tc>
          <w:tcPr>
            <w:tcW w:type="dxa" w:w="1680"/>
            <w:tcMar>
              <w:top w:w="80" w:type="dxa"/>
              <w:bottom w:w="80" w:type="dxa"/>
              <w:left w:w="120" w:type="dxa"/>
              <w:right w:w="120" w:type="dxa"/>
            </w:tcMar>
            <w:shd w:fill="FAFAFA"/>
          </w:tcPr>
          <w:p>
            <w:pPr>
              <w:jc w:val="left"/>
            </w:pPr>
            <w:r>
              <w:rPr>
                <w:rFonts w:ascii="Times New Roman" w:hAnsi="Times New Roman"/>
                <w:sz w:val="16"/>
              </w:rPr>
              <w:t>Metric only; requires external retrieval corpus access.</w:t>
            </w:r>
          </w:p>
        </w:tc>
      </w:tr>
      <w:tr>
        <w:tc>
          <w:tcPr>
            <w:tcW w:type="dxa" w:w="1680"/>
            <w:tcMar>
              <w:top w:w="80" w:type="dxa"/>
              <w:bottom w:w="80" w:type="dxa"/>
              <w:left w:w="120" w:type="dxa"/>
              <w:right w:w="120" w:type="dxa"/>
            </w:tcMar>
          </w:tcPr>
          <w:p>
            <w:pPr>
              <w:jc w:val="left"/>
            </w:pPr>
            <w:r>
              <w:rPr>
                <w:rFonts w:ascii="Times New Roman" w:hAnsi="Times New Roman"/>
                <w:b/>
                <w:sz w:val="16"/>
              </w:rPr>
              <w:t>[6]</w:t>
            </w:r>
          </w:p>
        </w:tc>
        <w:tc>
          <w:tcPr>
            <w:tcW w:type="dxa" w:w="1680"/>
            <w:tcMar>
              <w:top w:w="80" w:type="dxa"/>
              <w:bottom w:w="80" w:type="dxa"/>
              <w:left w:w="120" w:type="dxa"/>
              <w:right w:w="120" w:type="dxa"/>
            </w:tcMar>
          </w:tcPr>
          <w:p>
            <w:pPr>
              <w:jc w:val="left"/>
            </w:pPr>
            <w:r>
              <w:rPr>
                <w:rFonts w:ascii="Times New Roman" w:hAnsi="Times New Roman"/>
                <w:sz w:val="16"/>
              </w:rPr>
              <w:t>SelfCheckGPT (Manakul et al.)</w:t>
            </w:r>
          </w:p>
        </w:tc>
        <w:tc>
          <w:tcPr>
            <w:tcW w:type="dxa" w:w="1680"/>
            <w:tcMar>
              <w:top w:w="80" w:type="dxa"/>
              <w:bottom w:w="80" w:type="dxa"/>
              <w:left w:w="120" w:type="dxa"/>
              <w:right w:w="120" w:type="dxa"/>
            </w:tcMar>
          </w:tcPr>
          <w:p>
            <w:pPr>
              <w:jc w:val="left"/>
            </w:pPr>
            <w:r>
              <w:rPr>
                <w:rFonts w:ascii="Times New Roman" w:hAnsi="Times New Roman"/>
                <w:sz w:val="16"/>
              </w:rPr>
              <w:t>EMNLP 2023</w:t>
            </w:r>
          </w:p>
        </w:tc>
        <w:tc>
          <w:tcPr>
            <w:tcW w:type="dxa" w:w="1680"/>
            <w:tcMar>
              <w:top w:w="80" w:type="dxa"/>
              <w:bottom w:w="80" w:type="dxa"/>
              <w:left w:w="120" w:type="dxa"/>
              <w:right w:w="120" w:type="dxa"/>
            </w:tcMar>
          </w:tcPr>
          <w:p>
            <w:pPr>
              <w:jc w:val="left"/>
            </w:pPr>
            <w:r>
              <w:rPr>
                <w:rFonts w:ascii="Times New Roman" w:hAnsi="Times New Roman"/>
                <w:sz w:val="16"/>
              </w:rPr>
              <w:t>Sampling consistency across multiple stochastic outputs</w:t>
            </w:r>
          </w:p>
        </w:tc>
        <w:tc>
          <w:tcPr>
            <w:tcW w:type="dxa" w:w="1680"/>
            <w:tcMar>
              <w:top w:w="80" w:type="dxa"/>
              <w:bottom w:w="80" w:type="dxa"/>
              <w:left w:w="120" w:type="dxa"/>
              <w:right w:w="120" w:type="dxa"/>
            </w:tcMar>
          </w:tcPr>
          <w:p>
            <w:pPr>
              <w:jc w:val="left"/>
            </w:pPr>
            <w:r>
              <w:rPr>
                <w:rFonts w:ascii="Times New Roman" w:hAnsi="Times New Roman"/>
                <w:sz w:val="16"/>
              </w:rPr>
              <w:t>Sentence AUC-PR = 82.7% (beats grey-box)</w:t>
            </w:r>
          </w:p>
        </w:tc>
        <w:tc>
          <w:tcPr>
            <w:tcW w:type="dxa" w:w="1680"/>
            <w:tcMar>
              <w:top w:w="80" w:type="dxa"/>
              <w:bottom w:w="80" w:type="dxa"/>
              <w:left w:w="120" w:type="dxa"/>
              <w:right w:w="120" w:type="dxa"/>
            </w:tcMar>
          </w:tcPr>
          <w:p>
            <w:pPr>
              <w:jc w:val="left"/>
            </w:pPr>
            <w:r>
              <w:rPr>
                <w:rFonts w:ascii="Times New Roman" w:hAnsi="Times New Roman"/>
                <w:sz w:val="16"/>
              </w:rPr>
              <w:t>No external evidence; fails on repeated parametric errors.</w:t>
            </w:r>
          </w:p>
        </w:tc>
      </w:tr>
      <w:tr>
        <w:tc>
          <w:tcPr>
            <w:tcW w:type="dxa" w:w="1680"/>
            <w:tcMar>
              <w:top w:w="80" w:type="dxa"/>
              <w:bottom w:w="80" w:type="dxa"/>
              <w:left w:w="120" w:type="dxa"/>
              <w:right w:w="120" w:type="dxa"/>
            </w:tcMar>
            <w:shd w:fill="FAFAFA"/>
          </w:tcPr>
          <w:p>
            <w:pPr>
              <w:jc w:val="left"/>
            </w:pPr>
            <w:r>
              <w:rPr>
                <w:rFonts w:ascii="Times New Roman" w:hAnsi="Times New Roman"/>
                <w:b/>
                <w:sz w:val="16"/>
              </w:rPr>
              <w:t>[4]</w:t>
            </w:r>
          </w:p>
        </w:tc>
        <w:tc>
          <w:tcPr>
            <w:tcW w:type="dxa" w:w="1680"/>
            <w:tcMar>
              <w:top w:w="80" w:type="dxa"/>
              <w:bottom w:w="80" w:type="dxa"/>
              <w:left w:w="120" w:type="dxa"/>
              <w:right w:w="120" w:type="dxa"/>
            </w:tcMar>
            <w:shd w:fill="FAFAFA"/>
          </w:tcPr>
          <w:p>
            <w:pPr>
              <w:jc w:val="left"/>
            </w:pPr>
            <w:r>
              <w:rPr>
                <w:rFonts w:ascii="Times New Roman" w:hAnsi="Times New Roman"/>
                <w:sz w:val="16"/>
              </w:rPr>
              <w:t>HaluEval (Li et al.)</w:t>
            </w:r>
          </w:p>
        </w:tc>
        <w:tc>
          <w:tcPr>
            <w:tcW w:type="dxa" w:w="1680"/>
            <w:tcMar>
              <w:top w:w="80" w:type="dxa"/>
              <w:bottom w:w="80" w:type="dxa"/>
              <w:left w:w="120" w:type="dxa"/>
              <w:right w:w="120" w:type="dxa"/>
            </w:tcMar>
            <w:shd w:fill="FAFAFA"/>
          </w:tcPr>
          <w:p>
            <w:pPr>
              <w:jc w:val="left"/>
            </w:pPr>
            <w:r>
              <w:rPr>
                <w:rFonts w:ascii="Times New Roman" w:hAnsi="Times New Roman"/>
                <w:sz w:val="16"/>
              </w:rPr>
              <w:t>EMNLP 2023</w:t>
            </w:r>
          </w:p>
        </w:tc>
        <w:tc>
          <w:tcPr>
            <w:tcW w:type="dxa" w:w="1680"/>
            <w:tcMar>
              <w:top w:w="80" w:type="dxa"/>
              <w:bottom w:w="80" w:type="dxa"/>
              <w:left w:w="120" w:type="dxa"/>
              <w:right w:w="120" w:type="dxa"/>
            </w:tcMar>
            <w:shd w:fill="FAFAFA"/>
          </w:tcPr>
          <w:p>
            <w:pPr>
              <w:jc w:val="left"/>
            </w:pPr>
            <w:r>
              <w:rPr>
                <w:rFonts w:ascii="Times New Roman" w:hAnsi="Times New Roman"/>
                <w:sz w:val="16"/>
              </w:rPr>
              <w:t>Diagnostic paired benchmark annotated via ChatGPT</w:t>
            </w:r>
          </w:p>
        </w:tc>
        <w:tc>
          <w:tcPr>
            <w:tcW w:type="dxa" w:w="1680"/>
            <w:tcMar>
              <w:top w:w="80" w:type="dxa"/>
              <w:bottom w:w="80" w:type="dxa"/>
              <w:left w:w="120" w:type="dxa"/>
              <w:right w:w="120" w:type="dxa"/>
            </w:tcMar>
            <w:shd w:fill="FAFAFA"/>
          </w:tcPr>
          <w:p>
            <w:pPr>
              <w:jc w:val="left"/>
            </w:pPr>
            <w:r>
              <w:rPr>
                <w:rFonts w:ascii="Times New Roman" w:hAnsi="Times New Roman"/>
                <w:sz w:val="16"/>
              </w:rPr>
              <w:t>Recognition accuracy 58.5%–74.3% across tasks</w:t>
            </w:r>
          </w:p>
        </w:tc>
        <w:tc>
          <w:tcPr>
            <w:tcW w:type="dxa" w:w="1680"/>
            <w:tcMar>
              <w:top w:w="80" w:type="dxa"/>
              <w:bottom w:w="80" w:type="dxa"/>
              <w:left w:w="120" w:type="dxa"/>
              <w:right w:w="120" w:type="dxa"/>
            </w:tcMar>
            <w:shd w:fill="FAFAFA"/>
          </w:tcPr>
          <w:p>
            <w:pPr>
              <w:jc w:val="left"/>
            </w:pPr>
            <w:r>
              <w:rPr>
                <w:rFonts w:ascii="Times New Roman" w:hAnsi="Times New Roman"/>
                <w:sz w:val="16"/>
              </w:rPr>
              <w:t>Benchmark dataset only; lacks automated verification pipeline.</w:t>
            </w:r>
          </w:p>
        </w:tc>
      </w:tr>
      <w:tr>
        <w:tc>
          <w:tcPr>
            <w:tcW w:type="dxa" w:w="1680"/>
            <w:tcMar>
              <w:top w:w="80" w:type="dxa"/>
              <w:bottom w:w="80" w:type="dxa"/>
              <w:left w:w="120" w:type="dxa"/>
              <w:right w:w="120" w:type="dxa"/>
            </w:tcMar>
          </w:tcPr>
          <w:p>
            <w:pPr>
              <w:jc w:val="left"/>
            </w:pPr>
            <w:r>
              <w:rPr>
                <w:rFonts w:ascii="Times New Roman" w:hAnsi="Times New Roman"/>
                <w:b/>
                <w:sz w:val="16"/>
              </w:rPr>
              <w:t>[9]</w:t>
            </w:r>
          </w:p>
        </w:tc>
        <w:tc>
          <w:tcPr>
            <w:tcW w:type="dxa" w:w="1680"/>
            <w:tcMar>
              <w:top w:w="80" w:type="dxa"/>
              <w:bottom w:w="80" w:type="dxa"/>
              <w:left w:w="120" w:type="dxa"/>
              <w:right w:w="120" w:type="dxa"/>
            </w:tcMar>
          </w:tcPr>
          <w:p>
            <w:pPr>
              <w:jc w:val="left"/>
            </w:pPr>
            <w:r>
              <w:rPr>
                <w:rFonts w:ascii="Times New Roman" w:hAnsi="Times New Roman"/>
                <w:sz w:val="16"/>
              </w:rPr>
              <w:t>REFIND (Gekhman et al.)</w:t>
            </w:r>
          </w:p>
        </w:tc>
        <w:tc>
          <w:tcPr>
            <w:tcW w:type="dxa" w:w="1680"/>
            <w:tcMar>
              <w:top w:w="80" w:type="dxa"/>
              <w:bottom w:w="80" w:type="dxa"/>
              <w:left w:w="120" w:type="dxa"/>
              <w:right w:w="120" w:type="dxa"/>
            </w:tcMar>
          </w:tcPr>
          <w:p>
            <w:pPr>
              <w:jc w:val="left"/>
            </w:pPr>
            <w:r>
              <w:rPr>
                <w:rFonts w:ascii="Times New Roman" w:hAnsi="Times New Roman"/>
                <w:sz w:val="16"/>
              </w:rPr>
              <w:t>SemEval 2025</w:t>
            </w:r>
          </w:p>
        </w:tc>
        <w:tc>
          <w:tcPr>
            <w:tcW w:type="dxa" w:w="1680"/>
            <w:tcMar>
              <w:top w:w="80" w:type="dxa"/>
              <w:bottom w:w="80" w:type="dxa"/>
              <w:left w:w="120" w:type="dxa"/>
              <w:right w:w="120" w:type="dxa"/>
            </w:tcMar>
          </w:tcPr>
          <w:p>
            <w:pPr>
              <w:jc w:val="left"/>
            </w:pPr>
            <w:r>
              <w:rPr>
                <w:rFonts w:ascii="Times New Roman" w:hAnsi="Times New Roman"/>
                <w:sz w:val="16"/>
              </w:rPr>
              <w:t>Retrieval-augmented Context Sensitivity Ratio (CSR)</w:t>
            </w:r>
          </w:p>
        </w:tc>
        <w:tc>
          <w:tcPr>
            <w:tcW w:type="dxa" w:w="1680"/>
            <w:tcMar>
              <w:top w:w="80" w:type="dxa"/>
              <w:bottom w:w="80" w:type="dxa"/>
              <w:left w:w="120" w:type="dxa"/>
              <w:right w:w="120" w:type="dxa"/>
            </w:tcMar>
          </w:tcPr>
          <w:p>
            <w:pPr>
              <w:jc w:val="left"/>
            </w:pPr>
            <w:r>
              <w:rPr>
                <w:rFonts w:ascii="Times New Roman" w:hAnsi="Times New Roman"/>
                <w:sz w:val="16"/>
              </w:rPr>
              <w:t>Significant IoU gains over span-level baselines</w:t>
            </w:r>
          </w:p>
        </w:tc>
        <w:tc>
          <w:tcPr>
            <w:tcW w:type="dxa" w:w="1680"/>
            <w:tcMar>
              <w:top w:w="80" w:type="dxa"/>
              <w:bottom w:w="80" w:type="dxa"/>
              <w:left w:w="120" w:type="dxa"/>
              <w:right w:w="120" w:type="dxa"/>
            </w:tcMar>
          </w:tcPr>
          <w:p>
            <w:pPr>
              <w:jc w:val="left"/>
            </w:pPr>
            <w:r>
              <w:rPr>
                <w:rFonts w:ascii="Times New Roman" w:hAnsi="Times New Roman"/>
                <w:sz w:val="16"/>
              </w:rPr>
              <w:t>Span localization only; lacks discrete claim-level verdicts.</w:t>
            </w:r>
          </w:p>
        </w:tc>
      </w:tr>
      <w:tr>
        <w:tc>
          <w:tcPr>
            <w:tcW w:type="dxa" w:w="1680"/>
            <w:tcMar>
              <w:top w:w="80" w:type="dxa"/>
              <w:bottom w:w="80" w:type="dxa"/>
              <w:left w:w="120" w:type="dxa"/>
              <w:right w:w="120" w:type="dxa"/>
            </w:tcMar>
            <w:shd w:fill="FAFAFA"/>
          </w:tcPr>
          <w:p>
            <w:pPr>
              <w:jc w:val="left"/>
            </w:pPr>
            <w:r>
              <w:rPr>
                <w:rFonts w:ascii="Times New Roman" w:hAnsi="Times New Roman"/>
                <w:b/>
                <w:sz w:val="16"/>
              </w:rPr>
              <w:t>[3]</w:t>
            </w:r>
          </w:p>
        </w:tc>
        <w:tc>
          <w:tcPr>
            <w:tcW w:type="dxa" w:w="1680"/>
            <w:tcMar>
              <w:top w:w="80" w:type="dxa"/>
              <w:bottom w:w="80" w:type="dxa"/>
              <w:left w:w="120" w:type="dxa"/>
              <w:right w:w="120" w:type="dxa"/>
            </w:tcMar>
            <w:shd w:fill="FAFAFA"/>
          </w:tcPr>
          <w:p>
            <w:pPr>
              <w:jc w:val="left"/>
            </w:pPr>
            <w:r>
              <w:rPr>
                <w:rFonts w:ascii="Times New Roman" w:hAnsi="Times New Roman"/>
                <w:sz w:val="16"/>
              </w:rPr>
              <w:t>FEVER (Thorne et al.)</w:t>
            </w:r>
          </w:p>
        </w:tc>
        <w:tc>
          <w:tcPr>
            <w:tcW w:type="dxa" w:w="1680"/>
            <w:tcMar>
              <w:top w:w="80" w:type="dxa"/>
              <w:bottom w:w="80" w:type="dxa"/>
              <w:left w:w="120" w:type="dxa"/>
              <w:right w:w="120" w:type="dxa"/>
            </w:tcMar>
            <w:shd w:fill="FAFAFA"/>
          </w:tcPr>
          <w:p>
            <w:pPr>
              <w:jc w:val="left"/>
            </w:pPr>
            <w:r>
              <w:rPr>
                <w:rFonts w:ascii="Times New Roman" w:hAnsi="Times New Roman"/>
                <w:sz w:val="16"/>
              </w:rPr>
              <w:t>NAACL 2018</w:t>
            </w:r>
          </w:p>
        </w:tc>
        <w:tc>
          <w:tcPr>
            <w:tcW w:type="dxa" w:w="1680"/>
            <w:tcMar>
              <w:top w:w="80" w:type="dxa"/>
              <w:bottom w:w="80" w:type="dxa"/>
              <w:left w:w="120" w:type="dxa"/>
              <w:right w:w="120" w:type="dxa"/>
            </w:tcMar>
            <w:shd w:fill="FAFAFA"/>
          </w:tcPr>
          <w:p>
            <w:pPr>
              <w:jc w:val="left"/>
            </w:pPr>
            <w:r>
              <w:rPr>
                <w:rFonts w:ascii="Times New Roman" w:hAnsi="Times New Roman"/>
                <w:sz w:val="16"/>
              </w:rPr>
              <w:t>3-way claim classification via retrieved Wikipedia evidence</w:t>
            </w:r>
          </w:p>
        </w:tc>
        <w:tc>
          <w:tcPr>
            <w:tcW w:type="dxa" w:w="1680"/>
            <w:tcMar>
              <w:top w:w="80" w:type="dxa"/>
              <w:bottom w:w="80" w:type="dxa"/>
              <w:left w:w="120" w:type="dxa"/>
              <w:right w:w="120" w:type="dxa"/>
            </w:tcMar>
            <w:shd w:fill="FAFAFA"/>
          </w:tcPr>
          <w:p>
            <w:pPr>
              <w:jc w:val="left"/>
            </w:pPr>
            <w:r>
              <w:rPr>
                <w:rFonts w:ascii="Times New Roman" w:hAnsi="Times New Roman"/>
                <w:sz w:val="16"/>
              </w:rPr>
              <w:t>64.21% pipeline score (canonical benchmark)</w:t>
            </w:r>
          </w:p>
        </w:tc>
        <w:tc>
          <w:tcPr>
            <w:tcW w:type="dxa" w:w="1680"/>
            <w:tcMar>
              <w:top w:w="80" w:type="dxa"/>
              <w:bottom w:w="80" w:type="dxa"/>
              <w:left w:w="120" w:type="dxa"/>
              <w:right w:w="120" w:type="dxa"/>
            </w:tcMar>
            <w:shd w:fill="FAFAFA"/>
          </w:tcPr>
          <w:p>
            <w:pPr>
              <w:jc w:val="left"/>
            </w:pPr>
            <w:r>
              <w:rPr>
                <w:rFonts w:ascii="Times New Roman" w:hAnsi="Times New Roman"/>
                <w:sz w:val="16"/>
              </w:rPr>
              <w:t>Human-crafted Wikipedia claims; not naturalistic LLM text.</w:t>
            </w:r>
          </w:p>
        </w:tc>
      </w:tr>
      <w:tr>
        <w:tc>
          <w:tcPr>
            <w:tcW w:type="dxa" w:w="1680"/>
            <w:tcMar>
              <w:top w:w="80" w:type="dxa"/>
              <w:bottom w:w="80" w:type="dxa"/>
              <w:left w:w="120" w:type="dxa"/>
              <w:right w:w="120" w:type="dxa"/>
            </w:tcMar>
          </w:tcPr>
          <w:p>
            <w:pPr>
              <w:jc w:val="left"/>
            </w:pPr>
            <w:r>
              <w:rPr>
                <w:rFonts w:ascii="Times New Roman" w:hAnsi="Times New Roman"/>
                <w:b/>
                <w:sz w:val="16"/>
              </w:rPr>
              <w:t>[7]</w:t>
            </w:r>
          </w:p>
        </w:tc>
        <w:tc>
          <w:tcPr>
            <w:tcW w:type="dxa" w:w="1680"/>
            <w:tcMar>
              <w:top w:w="80" w:type="dxa"/>
              <w:bottom w:w="80" w:type="dxa"/>
              <w:left w:w="120" w:type="dxa"/>
              <w:right w:w="120" w:type="dxa"/>
            </w:tcMar>
          </w:tcPr>
          <w:p>
            <w:pPr>
              <w:jc w:val="left"/>
            </w:pPr>
            <w:r>
              <w:rPr>
                <w:rFonts w:ascii="Times New Roman" w:hAnsi="Times New Roman"/>
                <w:sz w:val="16"/>
              </w:rPr>
              <w:t>Semantic Entropy (Farquhar et al.)</w:t>
            </w:r>
          </w:p>
        </w:tc>
        <w:tc>
          <w:tcPr>
            <w:tcW w:type="dxa" w:w="1680"/>
            <w:tcMar>
              <w:top w:w="80" w:type="dxa"/>
              <w:bottom w:w="80" w:type="dxa"/>
              <w:left w:w="120" w:type="dxa"/>
              <w:right w:w="120" w:type="dxa"/>
            </w:tcMar>
          </w:tcPr>
          <w:p>
            <w:pPr>
              <w:jc w:val="left"/>
            </w:pPr>
            <w:r>
              <w:rPr>
                <w:rFonts w:ascii="Times New Roman" w:hAnsi="Times New Roman"/>
                <w:sz w:val="16"/>
              </w:rPr>
              <w:t>Nature 2024</w:t>
            </w:r>
          </w:p>
        </w:tc>
        <w:tc>
          <w:tcPr>
            <w:tcW w:type="dxa" w:w="1680"/>
            <w:tcMar>
              <w:top w:w="80" w:type="dxa"/>
              <w:bottom w:w="80" w:type="dxa"/>
              <w:left w:w="120" w:type="dxa"/>
              <w:right w:w="120" w:type="dxa"/>
            </w:tcMar>
          </w:tcPr>
          <w:p>
            <w:pPr>
              <w:jc w:val="left"/>
            </w:pPr>
            <w:r>
              <w:rPr>
                <w:rFonts w:ascii="Times New Roman" w:hAnsi="Times New Roman"/>
                <w:sz w:val="16"/>
              </w:rPr>
              <w:t>Entropy over semantically clustered sampled generations</w:t>
            </w:r>
          </w:p>
        </w:tc>
        <w:tc>
          <w:tcPr>
            <w:tcW w:type="dxa" w:w="1680"/>
            <w:tcMar>
              <w:top w:w="80" w:type="dxa"/>
              <w:bottom w:w="80" w:type="dxa"/>
              <w:left w:w="120" w:type="dxa"/>
              <w:right w:w="120" w:type="dxa"/>
            </w:tcMar>
          </w:tcPr>
          <w:p>
            <w:pPr>
              <w:jc w:val="left"/>
            </w:pPr>
            <w:r>
              <w:rPr>
                <w:rFonts w:ascii="Times New Roman" w:hAnsi="Times New Roman"/>
                <w:sz w:val="16"/>
              </w:rPr>
              <w:t>Substantial AUROC gains across unseen QA tasks</w:t>
            </w:r>
          </w:p>
        </w:tc>
        <w:tc>
          <w:tcPr>
            <w:tcW w:type="dxa" w:w="1680"/>
            <w:tcMar>
              <w:top w:w="80" w:type="dxa"/>
              <w:bottom w:w="80" w:type="dxa"/>
              <w:left w:w="120" w:type="dxa"/>
              <w:right w:w="120" w:type="dxa"/>
            </w:tcMar>
          </w:tcPr>
          <w:p>
            <w:pPr>
              <w:jc w:val="left"/>
            </w:pPr>
            <w:r>
              <w:rPr>
                <w:rFonts w:ascii="Times New Roman" w:hAnsi="Times New Roman"/>
                <w:sz w:val="16"/>
              </w:rPr>
              <w:t>Measures model uncertainty; misses confident factual errors.</w:t>
            </w:r>
          </w:p>
        </w:tc>
      </w:tr>
      <w:tr>
        <w:tc>
          <w:tcPr>
            <w:tcW w:type="dxa" w:w="1680"/>
            <w:tcMar>
              <w:top w:w="80" w:type="dxa"/>
              <w:bottom w:w="80" w:type="dxa"/>
              <w:left w:w="120" w:type="dxa"/>
              <w:right w:w="120" w:type="dxa"/>
            </w:tcMar>
            <w:shd w:fill="FAFAFA"/>
          </w:tcPr>
          <w:p>
            <w:pPr>
              <w:jc w:val="left"/>
            </w:pPr>
            <w:r>
              <w:rPr>
                <w:rFonts w:ascii="Times New Roman" w:hAnsi="Times New Roman"/>
                <w:b/>
                <w:sz w:val="16"/>
              </w:rPr>
              <w:t>[11]</w:t>
            </w:r>
          </w:p>
        </w:tc>
        <w:tc>
          <w:tcPr>
            <w:tcW w:type="dxa" w:w="1680"/>
            <w:tcMar>
              <w:top w:w="80" w:type="dxa"/>
              <w:bottom w:w="80" w:type="dxa"/>
              <w:left w:w="120" w:type="dxa"/>
              <w:right w:w="120" w:type="dxa"/>
            </w:tcMar>
            <w:shd w:fill="FAFAFA"/>
          </w:tcPr>
          <w:p>
            <w:pPr>
              <w:jc w:val="left"/>
            </w:pPr>
            <w:r>
              <w:rPr>
                <w:rFonts w:ascii="Times New Roman" w:hAnsi="Times New Roman"/>
                <w:sz w:val="16"/>
              </w:rPr>
              <w:t>MRR-FV (Zheng et al.)</w:t>
            </w:r>
          </w:p>
        </w:tc>
        <w:tc>
          <w:tcPr>
            <w:tcW w:type="dxa" w:w="1680"/>
            <w:tcMar>
              <w:top w:w="80" w:type="dxa"/>
              <w:bottom w:w="80" w:type="dxa"/>
              <w:left w:w="120" w:type="dxa"/>
              <w:right w:w="120" w:type="dxa"/>
            </w:tcMar>
            <w:shd w:fill="FAFAFA"/>
          </w:tcPr>
          <w:p>
            <w:pPr>
              <w:jc w:val="left"/>
            </w:pPr>
            <w:r>
              <w:rPr>
                <w:rFonts w:ascii="Times New Roman" w:hAnsi="Times New Roman"/>
                <w:sz w:val="16"/>
              </w:rPr>
              <w:t>AAAI 2025</w:t>
            </w:r>
          </w:p>
        </w:tc>
        <w:tc>
          <w:tcPr>
            <w:tcW w:type="dxa" w:w="1680"/>
            <w:tcMar>
              <w:top w:w="80" w:type="dxa"/>
              <w:bottom w:w="80" w:type="dxa"/>
              <w:left w:w="120" w:type="dxa"/>
              <w:right w:w="120" w:type="dxa"/>
            </w:tcMar>
            <w:shd w:fill="FAFAFA"/>
          </w:tcPr>
          <w:p>
            <w:pPr>
              <w:jc w:val="left"/>
            </w:pPr>
            <w:r>
              <w:rPr>
                <w:rFonts w:ascii="Times New Roman" w:hAnsi="Times New Roman"/>
                <w:sz w:val="16"/>
              </w:rPr>
              <w:t>Generative multi-hop retriever + hierarchical graph reasoner</w:t>
            </w:r>
          </w:p>
        </w:tc>
        <w:tc>
          <w:tcPr>
            <w:tcW w:type="dxa" w:w="1680"/>
            <w:tcMar>
              <w:top w:w="80" w:type="dxa"/>
              <w:bottom w:w="80" w:type="dxa"/>
              <w:left w:w="120" w:type="dxa"/>
              <w:right w:w="120" w:type="dxa"/>
            </w:tcMar>
            <w:shd w:fill="FAFAFA"/>
          </w:tcPr>
          <w:p>
            <w:pPr>
              <w:jc w:val="left"/>
            </w:pPr>
            <w:r>
              <w:rPr>
                <w:rFonts w:ascii="Times New Roman" w:hAnsi="Times New Roman"/>
                <w:sz w:val="16"/>
              </w:rPr>
              <w:t>FEVER test accuracy ≈ 80.8%; HoVer 2-hop F1 ≈ 71.7%</w:t>
            </w:r>
          </w:p>
        </w:tc>
        <w:tc>
          <w:tcPr>
            <w:tcW w:type="dxa" w:w="1680"/>
            <w:tcMar>
              <w:top w:w="80" w:type="dxa"/>
              <w:bottom w:w="80" w:type="dxa"/>
              <w:left w:w="120" w:type="dxa"/>
              <w:right w:w="120" w:type="dxa"/>
            </w:tcMar>
            <w:shd w:fill="FAFAFA"/>
          </w:tcPr>
          <w:p>
            <w:pPr>
              <w:jc w:val="left"/>
            </w:pPr>
            <w:r>
              <w:rPr>
                <w:rFonts w:ascii="Times New Roman" w:hAnsi="Times New Roman"/>
                <w:sz w:val="16"/>
              </w:rPr>
              <w:t>Hop-sensitive; heavy multi-pass inference overhead.</w:t>
            </w:r>
          </w:p>
        </w:tc>
      </w:tr>
      <w:tr>
        <w:tc>
          <w:tcPr>
            <w:tcW w:type="dxa" w:w="1680"/>
            <w:tcMar>
              <w:top w:w="80" w:type="dxa"/>
              <w:bottom w:w="80" w:type="dxa"/>
              <w:left w:w="120" w:type="dxa"/>
              <w:right w:w="120" w:type="dxa"/>
            </w:tcMar>
          </w:tcPr>
          <w:p>
            <w:pPr>
              <w:jc w:val="left"/>
            </w:pPr>
            <w:r>
              <w:rPr>
                <w:rFonts w:ascii="Times New Roman" w:hAnsi="Times New Roman"/>
                <w:b/>
                <w:sz w:val="16"/>
              </w:rPr>
              <w:t>Ours</w:t>
            </w:r>
          </w:p>
        </w:tc>
        <w:tc>
          <w:tcPr>
            <w:tcW w:type="dxa" w:w="1680"/>
            <w:tcMar>
              <w:top w:w="80" w:type="dxa"/>
              <w:bottom w:w="80" w:type="dxa"/>
              <w:left w:w="120" w:type="dxa"/>
              <w:right w:w="120" w:type="dxa"/>
            </w:tcMar>
          </w:tcPr>
          <w:p>
            <w:pPr>
              <w:jc w:val="left"/>
            </w:pPr>
            <w:r>
              <w:rPr>
                <w:rFonts w:ascii="Times New Roman" w:hAnsi="Times New Roman"/>
                <w:b/>
                <w:sz w:val="16"/>
              </w:rPr>
              <w:t>Evidence-Aware Claim Pipeline</w:t>
            </w:r>
          </w:p>
        </w:tc>
        <w:tc>
          <w:tcPr>
            <w:tcW w:type="dxa" w:w="1680"/>
            <w:tcMar>
              <w:top w:w="80" w:type="dxa"/>
              <w:bottom w:w="80" w:type="dxa"/>
              <w:left w:w="120" w:type="dxa"/>
              <w:right w:w="120" w:type="dxa"/>
            </w:tcMar>
          </w:tcPr>
          <w:p>
            <w:pPr>
              <w:jc w:val="left"/>
            </w:pPr>
            <w:r>
              <w:rPr>
                <w:rFonts w:ascii="Times New Roman" w:hAnsi="Times New Roman"/>
                <w:b/>
                <w:sz w:val="16"/>
              </w:rPr>
              <w:t>BCSE306L (2026)</w:t>
            </w:r>
          </w:p>
        </w:tc>
        <w:tc>
          <w:tcPr>
            <w:tcW w:type="dxa" w:w="1680"/>
            <w:tcMar>
              <w:top w:w="80" w:type="dxa"/>
              <w:bottom w:w="80" w:type="dxa"/>
              <w:left w:w="120" w:type="dxa"/>
              <w:right w:w="120" w:type="dxa"/>
            </w:tcMar>
          </w:tcPr>
          <w:p>
            <w:pPr>
              <w:jc w:val="left"/>
            </w:pPr>
            <w:r>
              <w:rPr>
                <w:rFonts w:ascii="Times New Roman" w:hAnsi="Times New Roman"/>
                <w:b/>
                <w:sz w:val="16"/>
              </w:rPr>
              <w:t>Atomic decomposition + dense retrieval + DeBERTa NLI + gate</w:t>
            </w:r>
          </w:p>
        </w:tc>
        <w:tc>
          <w:tcPr>
            <w:tcW w:type="dxa" w:w="1680"/>
            <w:tcMar>
              <w:top w:w="80" w:type="dxa"/>
              <w:bottom w:w="80" w:type="dxa"/>
              <w:left w:w="120" w:type="dxa"/>
              <w:right w:w="120" w:type="dxa"/>
            </w:tcMar>
          </w:tcPr>
          <w:p>
            <w:pPr>
              <w:jc w:val="left"/>
            </w:pPr>
            <w:r>
              <w:rPr>
                <w:rFonts w:ascii="Times New Roman" w:hAnsi="Times New Roman"/>
                <w:b/>
                <w:sz w:val="16"/>
              </w:rPr>
              <w:t>83.40% FEVER accuracy (0.8361 F1); +0.22 AUROC gain</w:t>
            </w:r>
          </w:p>
        </w:tc>
        <w:tc>
          <w:tcPr>
            <w:tcW w:type="dxa" w:w="1680"/>
            <w:tcMar>
              <w:top w:w="80" w:type="dxa"/>
              <w:bottom w:w="80" w:type="dxa"/>
              <w:left w:w="120" w:type="dxa"/>
              <w:right w:w="120" w:type="dxa"/>
            </w:tcMar>
          </w:tcPr>
          <w:p>
            <w:pPr>
              <w:jc w:val="left"/>
            </w:pPr>
            <w:r>
              <w:rPr>
                <w:rFonts w:ascii="Times New Roman" w:hAnsi="Times New Roman"/>
                <w:b/>
                <w:sz w:val="16"/>
              </w:rPr>
              <w:t>In-distribution on FEVER; English summarization focus.</w:t>
            </w:r>
          </w:p>
        </w:tc>
      </w:tr>
    </w:tbl>
    <w:p>
      <w:pPr>
        <w:spacing w:before="280" w:after="120"/>
        <w:jc w:val="center"/>
      </w:pPr>
      <w:r>
        <w:rPr>
          <w:rFonts w:ascii="Times New Roman" w:hAnsi="Times New Roman"/>
          <w:b/>
          <w:sz w:val="21"/>
        </w:rPr>
        <w:t>III. PROPOSED SYSTEM ARCHITECTURE AND METHODOLOGY</w:t>
      </w:r>
    </w:p>
    <w:p>
      <w:pPr>
        <w:spacing w:after="80" w:line="252" w:lineRule="auto"/>
        <w:jc w:val="both"/>
      </w:pPr>
      <w:r>
        <w:rPr>
          <w:rFonts w:ascii="Times New Roman" w:hAnsi="Times New Roman"/>
          <w:sz w:val="20"/>
        </w:rPr>
        <w:t>This section presents the formal design of our evidence-aware claim-level hallucination detection architecture. Following the research focus of this project, the methodology centers on resolving the Evidence Sufficiency Gap—the systematic failure that occurs when retrieval similarity is treated as evidence of factual entailment.</w:t>
      </w:r>
    </w:p>
    <w:p>
      <w:pPr>
        <w:spacing w:before="180" w:after="60"/>
        <w:jc w:val="left"/>
      </w:pPr>
      <w:r>
        <w:rPr>
          <w:rFonts w:ascii="Times New Roman" w:hAnsi="Times New Roman"/>
          <w:b/>
          <w:i/>
          <w:sz w:val="20"/>
        </w:rPr>
        <w:t>A. Mathematical Problem Formulation</w:t>
      </w:r>
    </w:p>
    <w:p>
      <w:pPr>
        <w:spacing w:after="80" w:line="252" w:lineRule="auto"/>
        <w:jc w:val="both"/>
      </w:pPr>
      <w:r>
        <w:rPr>
          <w:rFonts w:ascii="Times New Roman" w:hAnsi="Times New Roman"/>
          <w:sz w:val="20"/>
        </w:rPr>
        <w:t>Let r denote an unstructured text response generated by an autoregressive language model, and let C_corpus = {p_1, p_2, ..., p_K} denote an indexed reference evidence corpus composed of factual document passages. The verification system executes a structured mapping from response r to extracted atomic claims {c_i}, categorical labels {y_i} in {Supported, Contradicted, Unsupported}, auditable evidence traces {T_i}, and an aggregate response-level hallucination score H(r).</w:t>
      </w:r>
    </w:p>
    <w:p>
      <w:pPr>
        <w:spacing w:after="80" w:line="252" w:lineRule="auto"/>
        <w:jc w:val="both"/>
      </w:pPr>
      <w:r>
        <w:rPr>
          <w:rFonts w:ascii="Times New Roman" w:hAnsi="Times New Roman"/>
          <w:sz w:val="20"/>
        </w:rPr>
        <w:t>The response-level hallucination score H(r) is defined as the proportion of extracted propositions that fail to achieve factual support:</w:t>
        <w:br/>
        <w:t>H(r) = (n_Contradicted + n_Unsupported) / n = (1/n) * sum_{i=1}^n [I(y_i != Supported)]    (1)</w:t>
        <w:br/>
        <w:t>A response with H(r) = 0 is completely verified and grounded by corpus evidence, whereas H(r) = 1.0 indicates that all extracted claims either directly contradict factual records or lack evidentiary support.</w:t>
      </w:r>
    </w:p>
    <w:p>
      <w:pPr>
        <w:spacing w:before="160" w:after="80"/>
        <w:jc w:val="center"/>
      </w:pPr>
      <w:r>
        <w:drawing>
          <wp:inline xmlns:a="http://schemas.openxmlformats.org/drawingml/2006/main" xmlns:pic="http://schemas.openxmlformats.org/drawingml/2006/picture">
            <wp:extent cx="3474720" cy="186875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3474720" cy="1868757"/>
                    </a:xfrm>
                    <a:prstGeom prst="rect"/>
                  </pic:spPr>
                </pic:pic>
              </a:graphicData>
            </a:graphic>
          </wp:inline>
        </w:drawing>
      </w:r>
    </w:p>
    <w:p>
      <w:pPr>
        <w:spacing w:after="200"/>
        <w:jc w:val="center"/>
      </w:pPr>
      <w:r>
        <w:rPr>
          <w:rFonts w:ascii="Times New Roman" w:hAnsi="Times New Roman"/>
          <w:i/>
          <w:sz w:val="17"/>
        </w:rPr>
        <w:t>Fig. 1. End-to-end system architecture of the evidence-aware claim-level hallucination detection pipeline.</w:t>
      </w:r>
    </w:p>
    <w:p>
      <w:pPr>
        <w:spacing w:before="180" w:after="60"/>
        <w:jc w:val="left"/>
      </w:pPr>
      <w:r>
        <w:rPr>
          <w:rFonts w:ascii="Times New Roman" w:hAnsi="Times New Roman"/>
          <w:b/>
          <w:i/>
          <w:sz w:val="20"/>
        </w:rPr>
        <w:t>B. Module 1: Syntactic Atomic Claim Decomposition</w:t>
      </w:r>
    </w:p>
    <w:p>
      <w:pPr>
        <w:spacing w:after="80" w:line="252" w:lineRule="auto"/>
        <w:jc w:val="both"/>
      </w:pPr>
      <w:r>
        <w:rPr>
          <w:rFonts w:ascii="Times New Roman" w:hAnsi="Times New Roman"/>
          <w:sz w:val="20"/>
        </w:rPr>
        <w:t>Evaluating complex, multi-clause paragraphs monolithically introduces confounding variables because accurate factual assertions are conflated with isolated erroneous clauses. Conversely, splitting sentences strictly on punctuation fragments dependent subordinate clauses, producing dangling pronouns (e.g., 'She was awarded...') that fail when retrieved independently. We implement a deterministic, rule-guarded syntactic clause splitter: (1) Sentence Boundary Guarding: Segments response r into sentences while preserving common abbreviations, numerical decimals, honorifics (e.g., 'Dr.', 'Prof.'), and institutional titles. (2) Coordinating Conjunction Splitting: Detects compound coordinate clauses connected by conjunctions ('and', 'but', 'whereas'). Conjunction splitting is guarded by strict part-of-speech requirements: a split is executed if and only if both the left-hand and right-hand substrings contain independent subject–verb predicates and exceed a minimum clause length threshold (&gt;= 4 tokens). This prevents erroneous splits across noun compounds. (3) Pronominal Subject Resolution: When an extracted proposition begins with an anaphoric third-person pronoun ('he', 'she', 'it', 'they'), the pronoun is deterministically resolved using the most recent explicit nominal subject identified in preceding clauses. (4) Trivial Fragment Elimination: Filters out conversational filler, discourse connectives, and single-word fragments (&lt; 3 tokens).</w:t>
      </w:r>
    </w:p>
    <w:p>
      <w:pPr>
        <w:spacing w:before="180" w:after="60"/>
        <w:jc w:val="left"/>
      </w:pPr>
      <w:r>
        <w:rPr>
          <w:rFonts w:ascii="Times New Roman" w:hAnsi="Times New Roman"/>
          <w:b/>
          <w:i/>
          <w:sz w:val="20"/>
        </w:rPr>
        <w:t>C. Module 2: Dense Passage Indexing and Semantic Retrieval</w:t>
      </w:r>
    </w:p>
    <w:p>
      <w:pPr>
        <w:spacing w:after="80" w:line="252" w:lineRule="auto"/>
        <w:jc w:val="both"/>
      </w:pPr>
      <w:r>
        <w:rPr>
          <w:rFonts w:ascii="Times New Roman" w:hAnsi="Times New Roman"/>
          <w:sz w:val="20"/>
        </w:rPr>
        <w:t>To evaluate whether factual evidence exists for each proposition without incurring the extreme latency of external web search engines, we implement dense semantic retrieval across chunked reference corpora. Let each reference document be divided into fixed-length passages {p_j} using a sliding window with sentence overlap. A dense dual-encoder maps each passage p_j into a normalized d-dimensional embedding vector v_j in R^d: v_j = E(p_j) / ||E(p_j)||. For each extracted claim c_i, its query embedding is identically computed: q_i = E(c_i) / ||E(c_i)||. The semantic similarity between claim c_i and passage p_j is given by cosine similarity: sim(c_i, p_j) = q_i^T * v_j. Evidence retrieval identifies the top-k nearest passages maximizing cosine similarity. In distractor-rich evaluation pools, passages from all available reference documents are pooled together, requiring retrieval to identify the specific source document.</w:t>
      </w:r>
    </w:p>
    <w:p>
      <w:pPr>
        <w:spacing w:before="180" w:after="60"/>
        <w:jc w:val="left"/>
      </w:pPr>
      <w:r>
        <w:rPr>
          <w:rFonts w:ascii="Times New Roman" w:hAnsi="Times New Roman"/>
          <w:b/>
          <w:i/>
          <w:sz w:val="20"/>
        </w:rPr>
        <w:t>D. Module 3: Bidirectional Cross-Encoder NLI Verification</w:t>
      </w:r>
    </w:p>
    <w:p>
      <w:pPr>
        <w:spacing w:after="80" w:line="252" w:lineRule="auto"/>
        <w:jc w:val="both"/>
      </w:pPr>
      <w:r>
        <w:rPr>
          <w:rFonts w:ascii="Times New Roman" w:hAnsi="Times New Roman"/>
          <w:sz w:val="20"/>
        </w:rPr>
        <w:t>Bi-encoder embeddings compress sentences into isolated vectors, losing fine-grained cross-token interactions necessary to detect subtle factual contradictions (such as swapped dates or inverted negations). Therefore, we employ a bidirectional cross-encoder Natural Language Inference (NLI) model to perform deep premise–hypothesis alignment. For each retrieved passage p_j, the cross-encoder concatenates the passage as the premise and proposition c_i as the hypothesis, computing full bidirectional cross-attention across all tokens. The classification head outputs unnormalized logits converted to normalized probabilities via softmax:</w:t>
        <w:br/>
        <w:t>[P(ent), P(contra), P(neu)] = softmax(f_NLI(p_j, c_i))</w:t>
        <w:br/>
        <w:t>Dynamic sequence-length bucketing is applied during batch inference: candidate pairs are sorted by composite character length prior to tokenization, drastically minimizing padding overhead.</w:t>
      </w:r>
    </w:p>
    <w:p>
      <w:pPr>
        <w:spacing w:before="180" w:after="60"/>
        <w:jc w:val="left"/>
      </w:pPr>
      <w:r>
        <w:rPr>
          <w:rFonts w:ascii="Times New Roman" w:hAnsi="Times New Roman"/>
          <w:b/>
          <w:i/>
          <w:sz w:val="20"/>
        </w:rPr>
        <w:t>E. Module 4: Dynamic Calibrated Threshold Fusion Gate</w:t>
      </w:r>
    </w:p>
    <w:p>
      <w:pPr>
        <w:spacing w:after="80" w:line="252" w:lineRule="auto"/>
        <w:jc w:val="both"/>
      </w:pPr>
      <w:r>
        <w:rPr>
          <w:rFonts w:ascii="Times New Roman" w:hAnsi="Times New Roman"/>
          <w:sz w:val="20"/>
        </w:rPr>
        <w:t>Standard NLI classifiers default to a symmetric argmax decision rule. However, in factual hallucination verification, the operational costs of errors are highly asymmetric: falsely accepting an unverified or contradicted claim compromises clinical or legal safety, whereas a false neutral classification simply requests further human verification. We establish three independent, asymmetric decision thresholds: tau_contra (contradiction threshold, taking precedence), tau_ent (entailment threshold), and tau_sim (minimum retrieval similarity gating bound). Let p* = argmax_j P_ent(p_j, c_i) be the passage exhibiting maximum entailment probability, and let s* be its retrieval similarity. The formal verification decision rule is defined as:</w:t>
        <w:br/>
        <w:t>y(c_i) = Contradicted if max_j P_contra(p_j, c_i) &gt;= tau_contra;</w:t>
        <w:br/>
        <w:t xml:space="preserve">         Supported    else if P_ent(p*, c_i) &gt;= tau_ent and s* &gt;= tau_sim;</w:t>
        <w:br/>
        <w:t xml:space="preserve">         Unsupported  otherwise    (2)</w:t>
        <w:br/>
        <w:t>Setting tau_sim = 0 removes the similarity gate, yielding the pure NLI verifier. Setting tau_contra = 1.0 and tau_ent = 0 yields the similarity-only baseline, allowing systematic ablation of the Evidence Sufficiency Gap.</w:t>
      </w:r>
    </w:p>
    <w:p>
      <w:pPr>
        <w:spacing w:before="180" w:after="60"/>
        <w:jc w:val="left"/>
      </w:pPr>
      <w:r>
        <w:rPr>
          <w:rFonts w:ascii="Times New Roman" w:hAnsi="Times New Roman"/>
          <w:b/>
          <w:i/>
          <w:sz w:val="20"/>
        </w:rPr>
        <w:t>F. Module 5: Adaptive Scalar Reasoning Module</w:t>
      </w:r>
    </w:p>
    <w:p>
      <w:pPr>
        <w:spacing w:after="80" w:line="252" w:lineRule="auto"/>
        <w:jc w:val="both"/>
      </w:pPr>
      <w:r>
        <w:rPr>
          <w:rFonts w:ascii="Times New Roman" w:hAnsi="Times New Roman"/>
          <w:sz w:val="20"/>
        </w:rPr>
        <w:t>Standard pre-trained cross-encoder models frequently fail on numerical propositions involving scalar bounds, monotonic subsumption, and strict temporal exclusion. For example, if evidence states 'Yale University has 20 living billionaire alumni', standard NLI models predict Neutral when evaluating the claim 'Yale has 5 living billionaire alumni' (P_ent = 0.0169), despite the fact that possessing 20 living billionaires mathematically entails possessing 5. To resolve these failures, we integrate an adaptive scalar reasoning module: (1) Quantity and Unit Extraction: Parses numeric integers, decimals, and English word numerals along with their adjacent head nouns. (2) Monotonic Scalar Subsumption: When compatible units match in affirmative contexts without restrictive adverbs ('only', 'exactly'), if N_ev &gt;= N_claim, P_ent is adjusted to max(P_ent, 0.85). (3) Temporal Incompatibility Check: For exclusive historical events where year entities conflict (|Year_ev - Year_claim| &gt;= 1), the module forces refutation (P_contra = max(P_contra, 0.90)), preventing subtle temporal hallucinations from slipping through.</w:t>
      </w:r>
    </w:p>
    <w:p>
      <w:pPr>
        <w:spacing w:before="180" w:after="60"/>
        <w:jc w:val="left"/>
      </w:pPr>
      <w:r>
        <w:rPr>
          <w:rFonts w:ascii="Times New Roman" w:hAnsi="Times New Roman"/>
          <w:b/>
          <w:i/>
          <w:sz w:val="20"/>
        </w:rPr>
        <w:t>G. Formal Verification Algorithm &amp; Audit Traces</w:t>
      </w:r>
    </w:p>
    <w:p>
      <w:pPr>
        <w:spacing w:after="80" w:line="252" w:lineRule="auto"/>
        <w:jc w:val="both"/>
      </w:pPr>
      <w:r>
        <w:rPr>
          <w:rFonts w:ascii="Times New Roman" w:hAnsi="Times New Roman"/>
          <w:sz w:val="20"/>
        </w:rPr>
        <w:t>Algorithm 1 details the end-to-end execution flow. For every audited proposition, the system generates a structured audit trace receipt containing claim text, top evidence passage, similarity score, raw NLI probabilities, applied thresholds, and formal decision rationale. This transparent trace allows human auditors, clinical reviewers, and researchers to verify the exact evidence passage utilized, examine the model's confidence distribution, and inspect threshold margins, providing full interpretability absent in black-box hallucination detectors.</w:t>
      </w:r>
    </w:p>
    <w:p>
      <w:pPr>
        <w:spacing w:before="280" w:after="120"/>
        <w:jc w:val="center"/>
      </w:pPr>
      <w:r>
        <w:rPr>
          <w:rFonts w:ascii="Times New Roman" w:hAnsi="Times New Roman"/>
          <w:b/>
          <w:sz w:val="21"/>
        </w:rPr>
        <w:t>IV. EXPERIMENTAL IMPLEMENTATION AND EVALUATION SETUP</w:t>
      </w:r>
    </w:p>
    <w:p>
      <w:pPr>
        <w:spacing w:before="180" w:after="60"/>
        <w:jc w:val="left"/>
      </w:pPr>
      <w:r>
        <w:rPr>
          <w:rFonts w:ascii="Times New Roman" w:hAnsi="Times New Roman"/>
          <w:b/>
          <w:i/>
          <w:sz w:val="20"/>
        </w:rPr>
        <w:t>A. Hardware and Software Environment</w:t>
      </w:r>
    </w:p>
    <w:p>
      <w:pPr>
        <w:spacing w:after="80" w:line="252" w:lineRule="auto"/>
        <w:jc w:val="both"/>
      </w:pPr>
      <w:r>
        <w:rPr>
          <w:rFonts w:ascii="Times New Roman" w:hAnsi="Times New Roman"/>
          <w:sz w:val="20"/>
        </w:rPr>
        <w:t>The pipeline is implemented in Python 3.12 running on Windows 11 under a multi-threaded CPU execution environment without requiring specialized GPU accelerators or commercial cloud APIs: (1) Deep Learning: PyTorch (torch v2.14.1+cpu) configured for optimized CPU inference with dynamic multi-threading. (2) Transformer Infrastructure: Hugging Face Transformers (transformers v5.21.0) and Tokenizers (tokenizers v0.23.3) utilizing sequence-length bucketing. (3) Semantic Embeddings: Sentence-Transformers (sentence-transformers v6.2.0) utilizing sentence-transformers/all-MiniLM-L6-v2 (22.7M parameters, 384-dimensional dense vectors). (4) Cross-Encoder NLI Verifier: DeBERTa-v3 (MoritzLaurer/DeBERTa-v3-base-mnli-fever-anli, 86M parameters), a pre-trained bidirectional transformer fine-tuned on MNLI, FEVER, and ANLI. (5) Scientific Tooling: NumPy (v2.5.4), SciPy (v1.18.1) for exact binomial McNemar testing, Scikit-learn (v1.9.1) for pairwise ROC-AUC calculation and cosine similarity matrices, Pandas (v3.1.0), and Rank-BM25 (v0.2.2). All random seeds are fixed to seed = 42 with 19 smoke tests covering the full pipeline.</w:t>
      </w:r>
    </w:p>
    <w:p>
      <w:pPr>
        <w:spacing w:before="180" w:after="60"/>
        <w:jc w:val="left"/>
      </w:pPr>
      <w:r>
        <w:rPr>
          <w:rFonts w:ascii="Times New Roman" w:hAnsi="Times New Roman"/>
          <w:b/>
          <w:i/>
          <w:sz w:val="20"/>
        </w:rPr>
        <w:t>B. Benchmarks and Disjoint Calibration Protocol</w:t>
      </w:r>
    </w:p>
    <w:p>
      <w:pPr>
        <w:spacing w:after="80" w:line="252" w:lineRule="auto"/>
        <w:jc w:val="both"/>
      </w:pPr>
      <w:r>
        <w:rPr>
          <w:rFonts w:ascii="Times New Roman" w:hAnsi="Times New Roman"/>
          <w:sz w:val="20"/>
        </w:rPr>
        <w:t>1. FEVER Gold Evidence Benchmark [3]: We draw 700 claims from the copenlu/fever_gold_evidence validation set, partitioned into a disjoint Tuning Split (N = 200) and Held-Out Test Split (N = 500: 153 Supported, 156 Contradicted, 191 Unsupported). An exhaustive grid search over thresholds conducted solely on the 200 tuning claims yielded optimal parameters: tau_ent = 0.55, tau_contra = 0.30, tau_sim = 0.05 (tuning macro-F1: 0.8890). These thresholds were subsequently frozen and applied exactly once to the 500 held-out evaluation claims. (2) HaluEval Summarization Benchmark [4]: 10 CNN/DailyMail documents sampled with seed 42, each with a factual and hallucinated summary, chunked into 149 passages and pooled into a shared distractor corpus. (3) Synthetic Multi-Claim FEVER Evaluation: 50 paired composite responses.</w:t>
      </w:r>
    </w:p>
    <w:p>
      <w:pPr>
        <w:spacing w:before="180" w:after="60"/>
        <w:jc w:val="left"/>
      </w:pPr>
      <w:r>
        <w:rPr>
          <w:rFonts w:ascii="Times New Roman" w:hAnsi="Times New Roman"/>
          <w:b/>
          <w:i/>
          <w:sz w:val="20"/>
        </w:rPr>
        <w:t>C. Evaluation Metrics and Statistical Significance Framework</w:t>
      </w:r>
    </w:p>
    <w:p>
      <w:pPr>
        <w:spacing w:after="80" w:line="252" w:lineRule="auto"/>
        <w:jc w:val="both"/>
      </w:pPr>
      <w:r>
        <w:rPr>
          <w:rFonts w:ascii="Times New Roman" w:hAnsi="Times New Roman"/>
          <w:sz w:val="20"/>
        </w:rPr>
        <w:t>Performance is audited via Claim-Level Accuracy, Macro-Precision, Macro-Recall, and Macro-F1 across all three classes, accompanied by 1,000-sample bootstrap 95% confidence intervals. To establish statistical significance between paired models, we execute exact two-tailed McNemar tests on discordant pairs (b and c) using exact binomial distributions. On HaluEval, we report Strict Pairwise Accuracy, Ties-as-0.5 Accuracy, and AUROC.</w:t>
      </w:r>
    </w:p>
    <w:p>
      <w:pPr>
        <w:spacing w:before="280" w:after="120"/>
        <w:jc w:val="center"/>
      </w:pPr>
      <w:r>
        <w:rPr>
          <w:rFonts w:ascii="Times New Roman" w:hAnsi="Times New Roman"/>
          <w:b/>
          <w:sz w:val="21"/>
        </w:rPr>
        <w:t>V. EXPERIMENTAL RESULTS AND DISCUSSION</w:t>
      </w:r>
    </w:p>
    <w:p>
      <w:pPr>
        <w:spacing w:before="180" w:after="60"/>
        <w:jc w:val="left"/>
      </w:pPr>
      <w:r>
        <w:rPr>
          <w:rFonts w:ascii="Times New Roman" w:hAnsi="Times New Roman"/>
          <w:b/>
          <w:i/>
          <w:sz w:val="20"/>
        </w:rPr>
        <w:t>A. FEVER Claim Verification and Ablation Analysis</w:t>
      </w:r>
    </w:p>
    <w:p>
      <w:pPr>
        <w:spacing w:after="80" w:line="252" w:lineRule="auto"/>
        <w:jc w:val="both"/>
      </w:pPr>
      <w:r>
        <w:rPr>
          <w:rFonts w:ascii="Times New Roman" w:hAnsi="Times New Roman"/>
          <w:sz w:val="20"/>
        </w:rPr>
        <w:t>Table II reports the performance across ablation configurations on the 500 held-out FEVER claims (seed = 42), accompanied by 95% bootstrap confidence intervals.</w:t>
      </w:r>
    </w:p>
    <w:p>
      <w:pPr>
        <w:spacing w:before="160" w:after="80"/>
        <w:jc w:val="center"/>
      </w:pPr>
      <w:r>
        <w:rPr>
          <w:rFonts w:ascii="Times New Roman" w:hAnsi="Times New Roman"/>
          <w:b/>
          <w:sz w:val="19"/>
        </w:rPr>
        <w:t>TABLE II</w:t>
        <w:br/>
        <w:t>ABLATION STUDY RESULTS ON THE DISJOINT FEVER TEST SPLIT (N = 500, seed = 42)</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1120"/>
        <w:gridCol w:w="1120"/>
        <w:gridCol w:w="1120"/>
        <w:gridCol w:w="1120"/>
        <w:gridCol w:w="1120"/>
        <w:gridCol w:w="1120"/>
        <w:gridCol w:w="1120"/>
        <w:gridCol w:w="1120"/>
        <w:gridCol w:w="1120"/>
      </w:tblGrid>
      <w:tr>
        <w:tc>
          <w:tcPr>
            <w:tcW w:type="dxa" w:w="1120"/>
            <w:shd w:fill="F1F5F9"/>
            <w:tcMar>
              <w:top w:w="100" w:type="dxa"/>
              <w:bottom w:w="100" w:type="dxa"/>
              <w:left w:w="100" w:type="dxa"/>
              <w:right w:w="100" w:type="dxa"/>
            </w:tcMar>
          </w:tcPr>
          <w:p>
            <w:pPr>
              <w:jc w:val="left"/>
            </w:pPr>
            <w:r>
              <w:rPr>
                <w:rFonts w:ascii="Times New Roman" w:hAnsi="Times New Roman"/>
                <w:b/>
                <w:sz w:val="16"/>
              </w:rPr>
              <w:t>Config</w:t>
            </w:r>
          </w:p>
        </w:tc>
        <w:tc>
          <w:tcPr>
            <w:tcW w:type="dxa" w:w="1120"/>
            <w:shd w:fill="F1F5F9"/>
            <w:tcMar>
              <w:top w:w="100" w:type="dxa"/>
              <w:bottom w:w="100" w:type="dxa"/>
              <w:left w:w="100" w:type="dxa"/>
              <w:right w:w="100" w:type="dxa"/>
            </w:tcMar>
          </w:tcPr>
          <w:p>
            <w:pPr>
              <w:jc w:val="left"/>
            </w:pPr>
            <w:r>
              <w:rPr>
                <w:rFonts w:ascii="Times New Roman" w:hAnsi="Times New Roman"/>
                <w:b/>
                <w:sz w:val="16"/>
              </w:rPr>
              <w:t>Description</w:t>
            </w:r>
          </w:p>
        </w:tc>
        <w:tc>
          <w:tcPr>
            <w:tcW w:type="dxa" w:w="1120"/>
            <w:shd w:fill="F1F5F9"/>
            <w:tcMar>
              <w:top w:w="100" w:type="dxa"/>
              <w:bottom w:w="100" w:type="dxa"/>
              <w:left w:w="100" w:type="dxa"/>
              <w:right w:w="100" w:type="dxa"/>
            </w:tcMar>
          </w:tcPr>
          <w:p>
            <w:pPr>
              <w:jc w:val="left"/>
            </w:pPr>
            <w:r>
              <w:rPr>
                <w:rFonts w:ascii="Times New Roman" w:hAnsi="Times New Roman"/>
                <w:b/>
                <w:sz w:val="16"/>
              </w:rPr>
              <w:t>Accuracy [95% CI]</w:t>
            </w:r>
          </w:p>
        </w:tc>
        <w:tc>
          <w:tcPr>
            <w:tcW w:type="dxa" w:w="1120"/>
            <w:shd w:fill="F1F5F9"/>
            <w:tcMar>
              <w:top w:w="100" w:type="dxa"/>
              <w:bottom w:w="100" w:type="dxa"/>
              <w:left w:w="100" w:type="dxa"/>
              <w:right w:w="100" w:type="dxa"/>
            </w:tcMar>
          </w:tcPr>
          <w:p>
            <w:pPr>
              <w:jc w:val="left"/>
            </w:pPr>
            <w:r>
              <w:rPr>
                <w:rFonts w:ascii="Times New Roman" w:hAnsi="Times New Roman"/>
                <w:b/>
                <w:sz w:val="16"/>
              </w:rPr>
              <w:t>Macro P</w:t>
            </w:r>
          </w:p>
        </w:tc>
        <w:tc>
          <w:tcPr>
            <w:tcW w:type="dxa" w:w="1120"/>
            <w:shd w:fill="F1F5F9"/>
            <w:tcMar>
              <w:top w:w="100" w:type="dxa"/>
              <w:bottom w:w="100" w:type="dxa"/>
              <w:left w:w="100" w:type="dxa"/>
              <w:right w:w="100" w:type="dxa"/>
            </w:tcMar>
          </w:tcPr>
          <w:p>
            <w:pPr>
              <w:jc w:val="left"/>
            </w:pPr>
            <w:r>
              <w:rPr>
                <w:rFonts w:ascii="Times New Roman" w:hAnsi="Times New Roman"/>
                <w:b/>
                <w:sz w:val="16"/>
              </w:rPr>
              <w:t>Macro R</w:t>
            </w:r>
          </w:p>
        </w:tc>
        <w:tc>
          <w:tcPr>
            <w:tcW w:type="dxa" w:w="1120"/>
            <w:shd w:fill="F1F5F9"/>
            <w:tcMar>
              <w:top w:w="100" w:type="dxa"/>
              <w:bottom w:w="100" w:type="dxa"/>
              <w:left w:w="100" w:type="dxa"/>
              <w:right w:w="100" w:type="dxa"/>
            </w:tcMar>
          </w:tcPr>
          <w:p>
            <w:pPr>
              <w:jc w:val="left"/>
            </w:pPr>
            <w:r>
              <w:rPr>
                <w:rFonts w:ascii="Times New Roman" w:hAnsi="Times New Roman"/>
                <w:b/>
                <w:sz w:val="16"/>
              </w:rPr>
              <w:t>Macro F1 [95% CI]</w:t>
            </w:r>
          </w:p>
        </w:tc>
        <w:tc>
          <w:tcPr>
            <w:tcW w:type="dxa" w:w="1120"/>
            <w:shd w:fill="F1F5F9"/>
            <w:tcMar>
              <w:top w:w="100" w:type="dxa"/>
              <w:bottom w:w="100" w:type="dxa"/>
              <w:left w:w="100" w:type="dxa"/>
              <w:right w:w="100" w:type="dxa"/>
            </w:tcMar>
          </w:tcPr>
          <w:p>
            <w:pPr>
              <w:jc w:val="left"/>
            </w:pPr>
            <w:r>
              <w:rPr>
                <w:rFonts w:ascii="Times New Roman" w:hAnsi="Times New Roman"/>
                <w:b/>
                <w:sz w:val="16"/>
              </w:rPr>
              <w:t>Supp F1</w:t>
            </w:r>
          </w:p>
        </w:tc>
        <w:tc>
          <w:tcPr>
            <w:tcW w:type="dxa" w:w="1120"/>
            <w:shd w:fill="F1F5F9"/>
            <w:tcMar>
              <w:top w:w="100" w:type="dxa"/>
              <w:bottom w:w="100" w:type="dxa"/>
              <w:left w:w="100" w:type="dxa"/>
              <w:right w:w="100" w:type="dxa"/>
            </w:tcMar>
          </w:tcPr>
          <w:p>
            <w:pPr>
              <w:jc w:val="left"/>
            </w:pPr>
            <w:r>
              <w:rPr>
                <w:rFonts w:ascii="Times New Roman" w:hAnsi="Times New Roman"/>
                <w:b/>
                <w:sz w:val="16"/>
              </w:rPr>
              <w:t>Contra F1</w:t>
            </w:r>
          </w:p>
        </w:tc>
        <w:tc>
          <w:tcPr>
            <w:tcW w:type="dxa" w:w="1120"/>
            <w:shd w:fill="F1F5F9"/>
            <w:tcMar>
              <w:top w:w="100" w:type="dxa"/>
              <w:bottom w:w="100" w:type="dxa"/>
              <w:left w:w="100" w:type="dxa"/>
              <w:right w:w="100" w:type="dxa"/>
            </w:tcMar>
          </w:tcPr>
          <w:p>
            <w:pPr>
              <w:jc w:val="left"/>
            </w:pPr>
            <w:r>
              <w:rPr>
                <w:rFonts w:ascii="Times New Roman" w:hAnsi="Times New Roman"/>
                <w:b/>
                <w:sz w:val="16"/>
              </w:rPr>
              <w:t>Unsupp F1</w:t>
            </w:r>
          </w:p>
        </w:tc>
      </w:tr>
      <w:tr>
        <w:tc>
          <w:tcPr>
            <w:tcW w:type="dxa" w:w="1120"/>
            <w:tcMar>
              <w:top w:w="70" w:type="dxa"/>
              <w:bottom w:w="70" w:type="dxa"/>
              <w:left w:w="90" w:type="dxa"/>
              <w:right w:w="90" w:type="dxa"/>
            </w:tcMar>
            <w:shd w:fill="F0FDF4"/>
          </w:tcPr>
          <w:p>
            <w:pPr>
              <w:jc w:val="left"/>
            </w:pPr>
            <w:r>
              <w:rPr>
                <w:rFonts w:ascii="Times New Roman" w:hAnsi="Times New Roman"/>
                <w:b/>
                <w:sz w:val="15"/>
              </w:rPr>
              <w:t>A5</w:t>
            </w:r>
          </w:p>
        </w:tc>
        <w:tc>
          <w:tcPr>
            <w:tcW w:type="dxa" w:w="1120"/>
            <w:tcMar>
              <w:top w:w="70" w:type="dxa"/>
              <w:bottom w:w="70" w:type="dxa"/>
              <w:left w:w="90" w:type="dxa"/>
              <w:right w:w="90" w:type="dxa"/>
            </w:tcMar>
            <w:shd w:fill="F0FDF4"/>
          </w:tcPr>
          <w:p>
            <w:pPr>
              <w:jc w:val="left"/>
            </w:pPr>
            <w:r>
              <w:rPr>
                <w:rFonts w:ascii="Times New Roman" w:hAnsi="Times New Roman"/>
                <w:b/>
                <w:sz w:val="15"/>
              </w:rPr>
              <w:t>Full System (NLI + Gate)</w:t>
            </w:r>
          </w:p>
        </w:tc>
        <w:tc>
          <w:tcPr>
            <w:tcW w:type="dxa" w:w="1120"/>
            <w:tcMar>
              <w:top w:w="70" w:type="dxa"/>
              <w:bottom w:w="70" w:type="dxa"/>
              <w:left w:w="90" w:type="dxa"/>
              <w:right w:w="90" w:type="dxa"/>
            </w:tcMar>
            <w:shd w:fill="F0FDF4"/>
          </w:tcPr>
          <w:p>
            <w:pPr>
              <w:jc w:val="left"/>
            </w:pPr>
            <w:r>
              <w:rPr>
                <w:rFonts w:ascii="Times New Roman" w:hAnsi="Times New Roman"/>
                <w:b/>
                <w:sz w:val="15"/>
              </w:rPr>
              <w:t>83.40% [80.00, 86.60]</w:t>
            </w:r>
          </w:p>
        </w:tc>
        <w:tc>
          <w:tcPr>
            <w:tcW w:type="dxa" w:w="1120"/>
            <w:tcMar>
              <w:top w:w="70" w:type="dxa"/>
              <w:bottom w:w="70" w:type="dxa"/>
              <w:left w:w="90" w:type="dxa"/>
              <w:right w:w="90" w:type="dxa"/>
            </w:tcMar>
            <w:shd w:fill="F0FDF4"/>
          </w:tcPr>
          <w:p>
            <w:pPr>
              <w:jc w:val="left"/>
            </w:pPr>
            <w:r>
              <w:rPr>
                <w:rFonts w:ascii="Times New Roman" w:hAnsi="Times New Roman"/>
                <w:b/>
                <w:sz w:val="15"/>
              </w:rPr>
              <w:t>0.8410</w:t>
            </w:r>
          </w:p>
        </w:tc>
        <w:tc>
          <w:tcPr>
            <w:tcW w:type="dxa" w:w="1120"/>
            <w:tcMar>
              <w:top w:w="70" w:type="dxa"/>
              <w:bottom w:w="70" w:type="dxa"/>
              <w:left w:w="90" w:type="dxa"/>
              <w:right w:w="90" w:type="dxa"/>
            </w:tcMar>
            <w:shd w:fill="F0FDF4"/>
          </w:tcPr>
          <w:p>
            <w:pPr>
              <w:jc w:val="left"/>
            </w:pPr>
            <w:r>
              <w:rPr>
                <w:rFonts w:ascii="Times New Roman" w:hAnsi="Times New Roman"/>
                <w:b/>
                <w:sz w:val="15"/>
              </w:rPr>
              <w:t>0.8343</w:t>
            </w:r>
          </w:p>
        </w:tc>
        <w:tc>
          <w:tcPr>
            <w:tcW w:type="dxa" w:w="1120"/>
            <w:tcMar>
              <w:top w:w="70" w:type="dxa"/>
              <w:bottom w:w="70" w:type="dxa"/>
              <w:left w:w="90" w:type="dxa"/>
              <w:right w:w="90" w:type="dxa"/>
            </w:tcMar>
            <w:shd w:fill="F0FDF4"/>
          </w:tcPr>
          <w:p>
            <w:pPr>
              <w:jc w:val="left"/>
            </w:pPr>
            <w:r>
              <w:rPr>
                <w:rFonts w:ascii="Times New Roman" w:hAnsi="Times New Roman"/>
                <w:b/>
                <w:sz w:val="15"/>
              </w:rPr>
              <w:t>0.8361 [0.8015, 0.8678]</w:t>
            </w:r>
          </w:p>
        </w:tc>
        <w:tc>
          <w:tcPr>
            <w:tcW w:type="dxa" w:w="1120"/>
            <w:tcMar>
              <w:top w:w="70" w:type="dxa"/>
              <w:bottom w:w="70" w:type="dxa"/>
              <w:left w:w="90" w:type="dxa"/>
              <w:right w:w="90" w:type="dxa"/>
            </w:tcMar>
            <w:shd w:fill="F0FDF4"/>
          </w:tcPr>
          <w:p>
            <w:pPr>
              <w:jc w:val="left"/>
            </w:pPr>
            <w:r>
              <w:rPr>
                <w:rFonts w:ascii="Times New Roman" w:hAnsi="Times New Roman"/>
                <w:b/>
                <w:sz w:val="15"/>
              </w:rPr>
              <w:t>0.8472</w:t>
            </w:r>
          </w:p>
        </w:tc>
        <w:tc>
          <w:tcPr>
            <w:tcW w:type="dxa" w:w="1120"/>
            <w:tcMar>
              <w:top w:w="70" w:type="dxa"/>
              <w:bottom w:w="70" w:type="dxa"/>
              <w:left w:w="90" w:type="dxa"/>
              <w:right w:w="90" w:type="dxa"/>
            </w:tcMar>
            <w:shd w:fill="F0FDF4"/>
          </w:tcPr>
          <w:p>
            <w:pPr>
              <w:jc w:val="left"/>
            </w:pPr>
            <w:r>
              <w:rPr>
                <w:rFonts w:ascii="Times New Roman" w:hAnsi="Times New Roman"/>
                <w:b/>
                <w:sz w:val="15"/>
              </w:rPr>
              <w:t>0.8509</w:t>
            </w:r>
          </w:p>
        </w:tc>
        <w:tc>
          <w:tcPr>
            <w:tcW w:type="dxa" w:w="1120"/>
            <w:tcMar>
              <w:top w:w="70" w:type="dxa"/>
              <w:bottom w:w="70" w:type="dxa"/>
              <w:left w:w="90" w:type="dxa"/>
              <w:right w:w="90" w:type="dxa"/>
            </w:tcMar>
            <w:shd w:fill="F0FDF4"/>
          </w:tcPr>
          <w:p>
            <w:pPr>
              <w:jc w:val="left"/>
            </w:pPr>
            <w:r>
              <w:rPr>
                <w:rFonts w:ascii="Times New Roman" w:hAnsi="Times New Roman"/>
                <w:b/>
                <w:sz w:val="15"/>
              </w:rPr>
              <w:t>0.8103</w:t>
            </w:r>
          </w:p>
        </w:tc>
      </w:tr>
      <w:tr>
        <w:tc>
          <w:tcPr>
            <w:tcW w:type="dxa" w:w="1120"/>
            <w:tcMar>
              <w:top w:w="70" w:type="dxa"/>
              <w:bottom w:w="70" w:type="dxa"/>
              <w:left w:w="90" w:type="dxa"/>
              <w:right w:w="90" w:type="dxa"/>
            </w:tcMar>
            <w:shd w:fill="F0FDF4"/>
          </w:tcPr>
          <w:p>
            <w:pPr>
              <w:jc w:val="left"/>
            </w:pPr>
            <w:r>
              <w:rPr>
                <w:rFonts w:ascii="Times New Roman" w:hAnsi="Times New Roman"/>
                <w:b/>
                <w:sz w:val="15"/>
              </w:rPr>
              <w:t>A4</w:t>
            </w:r>
          </w:p>
        </w:tc>
        <w:tc>
          <w:tcPr>
            <w:tcW w:type="dxa" w:w="1120"/>
            <w:tcMar>
              <w:top w:w="70" w:type="dxa"/>
              <w:bottom w:w="70" w:type="dxa"/>
              <w:left w:w="90" w:type="dxa"/>
              <w:right w:w="90" w:type="dxa"/>
            </w:tcMar>
            <w:shd w:fill="F0FDF4"/>
          </w:tcPr>
          <w:p>
            <w:pPr>
              <w:jc w:val="left"/>
            </w:pPr>
            <w:r>
              <w:rPr>
                <w:rFonts w:ascii="Times New Roman" w:hAnsi="Times New Roman"/>
                <w:b/>
                <w:sz w:val="15"/>
              </w:rPr>
              <w:t>NLI Only (No Gate)</w:t>
            </w:r>
          </w:p>
        </w:tc>
        <w:tc>
          <w:tcPr>
            <w:tcW w:type="dxa" w:w="1120"/>
            <w:tcMar>
              <w:top w:w="70" w:type="dxa"/>
              <w:bottom w:w="70" w:type="dxa"/>
              <w:left w:w="90" w:type="dxa"/>
              <w:right w:w="90" w:type="dxa"/>
            </w:tcMar>
            <w:shd w:fill="F0FDF4"/>
          </w:tcPr>
          <w:p>
            <w:pPr>
              <w:jc w:val="left"/>
            </w:pPr>
            <w:r>
              <w:rPr>
                <w:rFonts w:ascii="Times New Roman" w:hAnsi="Times New Roman"/>
                <w:b/>
                <w:sz w:val="15"/>
              </w:rPr>
              <w:t>83.40% [80.00, 86.40]</w:t>
            </w:r>
          </w:p>
        </w:tc>
        <w:tc>
          <w:tcPr>
            <w:tcW w:type="dxa" w:w="1120"/>
            <w:tcMar>
              <w:top w:w="70" w:type="dxa"/>
              <w:bottom w:w="70" w:type="dxa"/>
              <w:left w:w="90" w:type="dxa"/>
              <w:right w:w="90" w:type="dxa"/>
            </w:tcMar>
            <w:shd w:fill="F0FDF4"/>
          </w:tcPr>
          <w:p>
            <w:pPr>
              <w:jc w:val="left"/>
            </w:pPr>
            <w:r>
              <w:rPr>
                <w:rFonts w:ascii="Times New Roman" w:hAnsi="Times New Roman"/>
                <w:b/>
                <w:sz w:val="15"/>
              </w:rPr>
              <w:t>0.8410</w:t>
            </w:r>
          </w:p>
        </w:tc>
        <w:tc>
          <w:tcPr>
            <w:tcW w:type="dxa" w:w="1120"/>
            <w:tcMar>
              <w:top w:w="70" w:type="dxa"/>
              <w:bottom w:w="70" w:type="dxa"/>
              <w:left w:w="90" w:type="dxa"/>
              <w:right w:w="90" w:type="dxa"/>
            </w:tcMar>
            <w:shd w:fill="F0FDF4"/>
          </w:tcPr>
          <w:p>
            <w:pPr>
              <w:jc w:val="left"/>
            </w:pPr>
            <w:r>
              <w:rPr>
                <w:rFonts w:ascii="Times New Roman" w:hAnsi="Times New Roman"/>
                <w:b/>
                <w:sz w:val="15"/>
              </w:rPr>
              <w:t>0.8343</w:t>
            </w:r>
          </w:p>
        </w:tc>
        <w:tc>
          <w:tcPr>
            <w:tcW w:type="dxa" w:w="1120"/>
            <w:tcMar>
              <w:top w:w="70" w:type="dxa"/>
              <w:bottom w:w="70" w:type="dxa"/>
              <w:left w:w="90" w:type="dxa"/>
              <w:right w:w="90" w:type="dxa"/>
            </w:tcMar>
            <w:shd w:fill="F0FDF4"/>
          </w:tcPr>
          <w:p>
            <w:pPr>
              <w:jc w:val="left"/>
            </w:pPr>
            <w:r>
              <w:rPr>
                <w:rFonts w:ascii="Times New Roman" w:hAnsi="Times New Roman"/>
                <w:b/>
                <w:sz w:val="15"/>
              </w:rPr>
              <w:t>0.8361 [0.8027, 0.8668]</w:t>
            </w:r>
          </w:p>
        </w:tc>
        <w:tc>
          <w:tcPr>
            <w:tcW w:type="dxa" w:w="1120"/>
            <w:tcMar>
              <w:top w:w="70" w:type="dxa"/>
              <w:bottom w:w="70" w:type="dxa"/>
              <w:left w:w="90" w:type="dxa"/>
              <w:right w:w="90" w:type="dxa"/>
            </w:tcMar>
            <w:shd w:fill="F0FDF4"/>
          </w:tcPr>
          <w:p>
            <w:pPr>
              <w:jc w:val="left"/>
            </w:pPr>
            <w:r>
              <w:rPr>
                <w:rFonts w:ascii="Times New Roman" w:hAnsi="Times New Roman"/>
                <w:b/>
                <w:sz w:val="15"/>
              </w:rPr>
              <w:t>0.8472</w:t>
            </w:r>
          </w:p>
        </w:tc>
        <w:tc>
          <w:tcPr>
            <w:tcW w:type="dxa" w:w="1120"/>
            <w:tcMar>
              <w:top w:w="70" w:type="dxa"/>
              <w:bottom w:w="70" w:type="dxa"/>
              <w:left w:w="90" w:type="dxa"/>
              <w:right w:w="90" w:type="dxa"/>
            </w:tcMar>
            <w:shd w:fill="F0FDF4"/>
          </w:tcPr>
          <w:p>
            <w:pPr>
              <w:jc w:val="left"/>
            </w:pPr>
            <w:r>
              <w:rPr>
                <w:rFonts w:ascii="Times New Roman" w:hAnsi="Times New Roman"/>
                <w:b/>
                <w:sz w:val="15"/>
              </w:rPr>
              <w:t>0.8509</w:t>
            </w:r>
          </w:p>
        </w:tc>
        <w:tc>
          <w:tcPr>
            <w:tcW w:type="dxa" w:w="1120"/>
            <w:tcMar>
              <w:top w:w="70" w:type="dxa"/>
              <w:bottom w:w="70" w:type="dxa"/>
              <w:left w:w="90" w:type="dxa"/>
              <w:right w:w="90" w:type="dxa"/>
            </w:tcMar>
            <w:shd w:fill="F0FDF4"/>
          </w:tcPr>
          <w:p>
            <w:pPr>
              <w:jc w:val="left"/>
            </w:pPr>
            <w:r>
              <w:rPr>
                <w:rFonts w:ascii="Times New Roman" w:hAnsi="Times New Roman"/>
                <w:b/>
                <w:sz w:val="15"/>
              </w:rPr>
              <w:t>0.8103</w:t>
            </w:r>
          </w:p>
        </w:tc>
      </w:tr>
      <w:tr>
        <w:tc>
          <w:tcPr>
            <w:tcW w:type="dxa" w:w="1120"/>
            <w:tcMar>
              <w:top w:w="70" w:type="dxa"/>
              <w:bottom w:w="70" w:type="dxa"/>
              <w:left w:w="90" w:type="dxa"/>
              <w:right w:w="90" w:type="dxa"/>
            </w:tcMar>
          </w:tcPr>
          <w:p>
            <w:pPr>
              <w:jc w:val="left"/>
            </w:pPr>
            <w:r>
              <w:rPr>
                <w:rFonts w:ascii="Times New Roman" w:hAnsi="Times New Roman"/>
                <w:b/>
                <w:sz w:val="15"/>
              </w:rPr>
              <w:t>A3</w:t>
            </w:r>
          </w:p>
        </w:tc>
        <w:tc>
          <w:tcPr>
            <w:tcW w:type="dxa" w:w="1120"/>
            <w:tcMar>
              <w:top w:w="70" w:type="dxa"/>
              <w:bottom w:w="70" w:type="dxa"/>
              <w:left w:w="90" w:type="dxa"/>
              <w:right w:w="90" w:type="dxa"/>
            </w:tcMar>
          </w:tcPr>
          <w:p>
            <w:pPr>
              <w:jc w:val="left"/>
            </w:pPr>
            <w:r>
              <w:rPr>
                <w:rFonts w:ascii="Times New Roman" w:hAnsi="Times New Roman"/>
                <w:sz w:val="15"/>
              </w:rPr>
              <w:t>Similarity Only (No NLI)</w:t>
            </w:r>
          </w:p>
        </w:tc>
        <w:tc>
          <w:tcPr>
            <w:tcW w:type="dxa" w:w="1120"/>
            <w:tcMar>
              <w:top w:w="70" w:type="dxa"/>
              <w:bottom w:w="70" w:type="dxa"/>
              <w:left w:w="90" w:type="dxa"/>
              <w:right w:w="90" w:type="dxa"/>
            </w:tcMar>
          </w:tcPr>
          <w:p>
            <w:pPr>
              <w:jc w:val="left"/>
            </w:pPr>
            <w:r>
              <w:rPr>
                <w:rFonts w:ascii="Times New Roman" w:hAnsi="Times New Roman"/>
                <w:sz w:val="15"/>
              </w:rPr>
              <w:t>30.60% [26.40, 34.60]</w:t>
            </w:r>
          </w:p>
        </w:tc>
        <w:tc>
          <w:tcPr>
            <w:tcW w:type="dxa" w:w="1120"/>
            <w:tcMar>
              <w:top w:w="70" w:type="dxa"/>
              <w:bottom w:w="70" w:type="dxa"/>
              <w:left w:w="90" w:type="dxa"/>
              <w:right w:w="90" w:type="dxa"/>
            </w:tcMar>
          </w:tcPr>
          <w:p>
            <w:pPr>
              <w:jc w:val="left"/>
            </w:pPr>
            <w:r>
              <w:rPr>
                <w:rFonts w:ascii="Times New Roman" w:hAnsi="Times New Roman"/>
                <w:sz w:val="15"/>
              </w:rPr>
              <w:t>0.1022</w:t>
            </w:r>
          </w:p>
        </w:tc>
        <w:tc>
          <w:tcPr>
            <w:tcW w:type="dxa" w:w="1120"/>
            <w:tcMar>
              <w:top w:w="70" w:type="dxa"/>
              <w:bottom w:w="70" w:type="dxa"/>
              <w:left w:w="90" w:type="dxa"/>
              <w:right w:w="90" w:type="dxa"/>
            </w:tcMar>
          </w:tcPr>
          <w:p>
            <w:pPr>
              <w:jc w:val="left"/>
            </w:pPr>
            <w:r>
              <w:rPr>
                <w:rFonts w:ascii="Times New Roman" w:hAnsi="Times New Roman"/>
                <w:sz w:val="15"/>
              </w:rPr>
              <w:t>0.3333</w:t>
            </w:r>
          </w:p>
        </w:tc>
        <w:tc>
          <w:tcPr>
            <w:tcW w:type="dxa" w:w="1120"/>
            <w:tcMar>
              <w:top w:w="70" w:type="dxa"/>
              <w:bottom w:w="70" w:type="dxa"/>
              <w:left w:w="90" w:type="dxa"/>
              <w:right w:w="90" w:type="dxa"/>
            </w:tcMar>
          </w:tcPr>
          <w:p>
            <w:pPr>
              <w:jc w:val="left"/>
            </w:pPr>
            <w:r>
              <w:rPr>
                <w:rFonts w:ascii="Times New Roman" w:hAnsi="Times New Roman"/>
                <w:sz w:val="15"/>
              </w:rPr>
              <w:t>0.1564 [0.1397, 0.1714]</w:t>
            </w:r>
          </w:p>
        </w:tc>
        <w:tc>
          <w:tcPr>
            <w:tcW w:type="dxa" w:w="1120"/>
            <w:tcMar>
              <w:top w:w="70" w:type="dxa"/>
              <w:bottom w:w="70" w:type="dxa"/>
              <w:left w:w="90" w:type="dxa"/>
              <w:right w:w="90" w:type="dxa"/>
            </w:tcMar>
          </w:tcPr>
          <w:p>
            <w:pPr>
              <w:jc w:val="left"/>
            </w:pPr>
            <w:r>
              <w:rPr>
                <w:rFonts w:ascii="Times New Roman" w:hAnsi="Times New Roman"/>
                <w:sz w:val="15"/>
              </w:rPr>
              <w:t>0.4693</w:t>
            </w:r>
          </w:p>
        </w:tc>
        <w:tc>
          <w:tcPr>
            <w:tcW w:type="dxa" w:w="1120"/>
            <w:tcMar>
              <w:top w:w="70" w:type="dxa"/>
              <w:bottom w:w="70" w:type="dxa"/>
              <w:left w:w="90" w:type="dxa"/>
              <w:right w:w="90" w:type="dxa"/>
            </w:tcMar>
          </w:tcPr>
          <w:p>
            <w:pPr>
              <w:jc w:val="left"/>
            </w:pPr>
            <w:r>
              <w:rPr>
                <w:rFonts w:ascii="Times New Roman" w:hAnsi="Times New Roman"/>
                <w:sz w:val="15"/>
              </w:rPr>
              <w:t>0.0000</w:t>
            </w:r>
          </w:p>
        </w:tc>
        <w:tc>
          <w:tcPr>
            <w:tcW w:type="dxa" w:w="1120"/>
            <w:tcMar>
              <w:top w:w="70" w:type="dxa"/>
              <w:bottom w:w="70" w:type="dxa"/>
              <w:left w:w="90" w:type="dxa"/>
              <w:right w:w="90" w:type="dxa"/>
            </w:tcMar>
          </w:tcPr>
          <w:p>
            <w:pPr>
              <w:jc w:val="left"/>
            </w:pPr>
            <w:r>
              <w:rPr>
                <w:rFonts w:ascii="Times New Roman" w:hAnsi="Times New Roman"/>
                <w:sz w:val="15"/>
              </w:rPr>
              <w:t>0.0000</w:t>
            </w:r>
          </w:p>
        </w:tc>
      </w:tr>
      <w:tr>
        <w:tc>
          <w:tcPr>
            <w:tcW w:type="dxa" w:w="1120"/>
            <w:tcMar>
              <w:top w:w="70" w:type="dxa"/>
              <w:bottom w:w="70" w:type="dxa"/>
              <w:left w:w="90" w:type="dxa"/>
              <w:right w:w="90" w:type="dxa"/>
            </w:tcMar>
          </w:tcPr>
          <w:p>
            <w:pPr>
              <w:jc w:val="left"/>
            </w:pPr>
            <w:r>
              <w:rPr>
                <w:rFonts w:ascii="Times New Roman" w:hAnsi="Times New Roman"/>
                <w:b/>
                <w:sz w:val="15"/>
              </w:rPr>
              <w:t>Base-Maj</w:t>
            </w:r>
          </w:p>
        </w:tc>
        <w:tc>
          <w:tcPr>
            <w:tcW w:type="dxa" w:w="1120"/>
            <w:tcMar>
              <w:top w:w="70" w:type="dxa"/>
              <w:bottom w:w="70" w:type="dxa"/>
              <w:left w:w="90" w:type="dxa"/>
              <w:right w:w="90" w:type="dxa"/>
            </w:tcMar>
          </w:tcPr>
          <w:p>
            <w:pPr>
              <w:jc w:val="left"/>
            </w:pPr>
            <w:r>
              <w:rPr>
                <w:rFonts w:ascii="Times New Roman" w:hAnsi="Times New Roman"/>
                <w:sz w:val="15"/>
              </w:rPr>
              <w:t>Majority Class Baseline</w:t>
            </w:r>
          </w:p>
        </w:tc>
        <w:tc>
          <w:tcPr>
            <w:tcW w:type="dxa" w:w="1120"/>
            <w:tcMar>
              <w:top w:w="70" w:type="dxa"/>
              <w:bottom w:w="70" w:type="dxa"/>
              <w:left w:w="90" w:type="dxa"/>
              <w:right w:w="90" w:type="dxa"/>
            </w:tcMar>
          </w:tcPr>
          <w:p>
            <w:pPr>
              <w:jc w:val="left"/>
            </w:pPr>
            <w:r>
              <w:rPr>
                <w:rFonts w:ascii="Times New Roman" w:hAnsi="Times New Roman"/>
                <w:sz w:val="15"/>
              </w:rPr>
              <w:t>38.20% [34.00, 42.40]</w:t>
            </w:r>
          </w:p>
        </w:tc>
        <w:tc>
          <w:tcPr>
            <w:tcW w:type="dxa" w:w="1120"/>
            <w:tcMar>
              <w:top w:w="70" w:type="dxa"/>
              <w:bottom w:w="70" w:type="dxa"/>
              <w:left w:w="90" w:type="dxa"/>
              <w:right w:w="90" w:type="dxa"/>
            </w:tcMar>
          </w:tcPr>
          <w:p>
            <w:pPr>
              <w:jc w:val="left"/>
            </w:pPr>
            <w:r>
              <w:rPr>
                <w:rFonts w:ascii="Times New Roman" w:hAnsi="Times New Roman"/>
                <w:sz w:val="15"/>
              </w:rPr>
              <w:t>0.1273</w:t>
            </w:r>
          </w:p>
        </w:tc>
        <w:tc>
          <w:tcPr>
            <w:tcW w:type="dxa" w:w="1120"/>
            <w:tcMar>
              <w:top w:w="70" w:type="dxa"/>
              <w:bottom w:w="70" w:type="dxa"/>
              <w:left w:w="90" w:type="dxa"/>
              <w:right w:w="90" w:type="dxa"/>
            </w:tcMar>
          </w:tcPr>
          <w:p>
            <w:pPr>
              <w:jc w:val="left"/>
            </w:pPr>
            <w:r>
              <w:rPr>
                <w:rFonts w:ascii="Times New Roman" w:hAnsi="Times New Roman"/>
                <w:sz w:val="15"/>
              </w:rPr>
              <w:t>0.3333</w:t>
            </w:r>
          </w:p>
        </w:tc>
        <w:tc>
          <w:tcPr>
            <w:tcW w:type="dxa" w:w="1120"/>
            <w:tcMar>
              <w:top w:w="70" w:type="dxa"/>
              <w:bottom w:w="70" w:type="dxa"/>
              <w:left w:w="90" w:type="dxa"/>
              <w:right w:w="90" w:type="dxa"/>
            </w:tcMar>
          </w:tcPr>
          <w:p>
            <w:pPr>
              <w:jc w:val="left"/>
            </w:pPr>
            <w:r>
              <w:rPr>
                <w:rFonts w:ascii="Times New Roman" w:hAnsi="Times New Roman"/>
                <w:sz w:val="15"/>
              </w:rPr>
              <w:t>0.1843 [0.1692, 0.1985]</w:t>
            </w:r>
          </w:p>
        </w:tc>
        <w:tc>
          <w:tcPr>
            <w:tcW w:type="dxa" w:w="1120"/>
            <w:tcMar>
              <w:top w:w="70" w:type="dxa"/>
              <w:bottom w:w="70" w:type="dxa"/>
              <w:left w:w="90" w:type="dxa"/>
              <w:right w:w="90" w:type="dxa"/>
            </w:tcMar>
          </w:tcPr>
          <w:p>
            <w:pPr>
              <w:jc w:val="left"/>
            </w:pPr>
            <w:r>
              <w:rPr>
                <w:rFonts w:ascii="Times New Roman" w:hAnsi="Times New Roman"/>
                <w:sz w:val="15"/>
              </w:rPr>
              <w:t>0.0000</w:t>
            </w:r>
          </w:p>
        </w:tc>
        <w:tc>
          <w:tcPr>
            <w:tcW w:type="dxa" w:w="1120"/>
            <w:tcMar>
              <w:top w:w="70" w:type="dxa"/>
              <w:bottom w:w="70" w:type="dxa"/>
              <w:left w:w="90" w:type="dxa"/>
              <w:right w:w="90" w:type="dxa"/>
            </w:tcMar>
          </w:tcPr>
          <w:p>
            <w:pPr>
              <w:jc w:val="left"/>
            </w:pPr>
            <w:r>
              <w:rPr>
                <w:rFonts w:ascii="Times New Roman" w:hAnsi="Times New Roman"/>
                <w:sz w:val="15"/>
              </w:rPr>
              <w:t>0.0000</w:t>
            </w:r>
          </w:p>
        </w:tc>
        <w:tc>
          <w:tcPr>
            <w:tcW w:type="dxa" w:w="1120"/>
            <w:tcMar>
              <w:top w:w="70" w:type="dxa"/>
              <w:bottom w:w="70" w:type="dxa"/>
              <w:left w:w="90" w:type="dxa"/>
              <w:right w:w="90" w:type="dxa"/>
            </w:tcMar>
          </w:tcPr>
          <w:p>
            <w:pPr>
              <w:jc w:val="left"/>
            </w:pPr>
            <w:r>
              <w:rPr>
                <w:rFonts w:ascii="Times New Roman" w:hAnsi="Times New Roman"/>
                <w:sz w:val="15"/>
              </w:rPr>
              <w:t>0.5528</w:t>
            </w:r>
          </w:p>
        </w:tc>
      </w:tr>
      <w:tr>
        <w:tc>
          <w:tcPr>
            <w:tcW w:type="dxa" w:w="1120"/>
            <w:tcMar>
              <w:top w:w="70" w:type="dxa"/>
              <w:bottom w:w="70" w:type="dxa"/>
              <w:left w:w="90" w:type="dxa"/>
              <w:right w:w="90" w:type="dxa"/>
            </w:tcMar>
          </w:tcPr>
          <w:p>
            <w:pPr>
              <w:jc w:val="left"/>
            </w:pPr>
            <w:r>
              <w:rPr>
                <w:rFonts w:ascii="Times New Roman" w:hAnsi="Times New Roman"/>
                <w:b/>
                <w:sz w:val="15"/>
              </w:rPr>
              <w:t>Base-Rand</w:t>
            </w:r>
          </w:p>
        </w:tc>
        <w:tc>
          <w:tcPr>
            <w:tcW w:type="dxa" w:w="1120"/>
            <w:tcMar>
              <w:top w:w="70" w:type="dxa"/>
              <w:bottom w:w="70" w:type="dxa"/>
              <w:left w:w="90" w:type="dxa"/>
              <w:right w:w="90" w:type="dxa"/>
            </w:tcMar>
          </w:tcPr>
          <w:p>
            <w:pPr>
              <w:jc w:val="left"/>
            </w:pPr>
            <w:r>
              <w:rPr>
                <w:rFonts w:ascii="Times New Roman" w:hAnsi="Times New Roman"/>
                <w:sz w:val="15"/>
              </w:rPr>
              <w:t>Uniform Random Baseline</w:t>
            </w:r>
          </w:p>
        </w:tc>
        <w:tc>
          <w:tcPr>
            <w:tcW w:type="dxa" w:w="1120"/>
            <w:tcMar>
              <w:top w:w="70" w:type="dxa"/>
              <w:bottom w:w="70" w:type="dxa"/>
              <w:left w:w="90" w:type="dxa"/>
              <w:right w:w="90" w:type="dxa"/>
            </w:tcMar>
          </w:tcPr>
          <w:p>
            <w:pPr>
              <w:jc w:val="left"/>
            </w:pPr>
            <w:r>
              <w:rPr>
                <w:rFonts w:ascii="Times New Roman" w:hAnsi="Times New Roman"/>
                <w:sz w:val="15"/>
              </w:rPr>
              <w:t>30.00% [26.20, 34.20]</w:t>
            </w:r>
          </w:p>
        </w:tc>
        <w:tc>
          <w:tcPr>
            <w:tcW w:type="dxa" w:w="1120"/>
            <w:tcMar>
              <w:top w:w="70" w:type="dxa"/>
              <w:bottom w:w="70" w:type="dxa"/>
              <w:left w:w="90" w:type="dxa"/>
              <w:right w:w="90" w:type="dxa"/>
            </w:tcMar>
          </w:tcPr>
          <w:p>
            <w:pPr>
              <w:jc w:val="left"/>
            </w:pPr>
            <w:r>
              <w:rPr>
                <w:rFonts w:ascii="Times New Roman" w:hAnsi="Times New Roman"/>
                <w:sz w:val="15"/>
              </w:rPr>
              <w:t>0.2987</w:t>
            </w:r>
          </w:p>
        </w:tc>
        <w:tc>
          <w:tcPr>
            <w:tcW w:type="dxa" w:w="1120"/>
            <w:tcMar>
              <w:top w:w="70" w:type="dxa"/>
              <w:bottom w:w="70" w:type="dxa"/>
              <w:left w:w="90" w:type="dxa"/>
              <w:right w:w="90" w:type="dxa"/>
            </w:tcMar>
          </w:tcPr>
          <w:p>
            <w:pPr>
              <w:jc w:val="left"/>
            </w:pPr>
            <w:r>
              <w:rPr>
                <w:rFonts w:ascii="Times New Roman" w:hAnsi="Times New Roman"/>
                <w:sz w:val="15"/>
              </w:rPr>
              <w:t>0.3021</w:t>
            </w:r>
          </w:p>
        </w:tc>
        <w:tc>
          <w:tcPr>
            <w:tcW w:type="dxa" w:w="1120"/>
            <w:tcMar>
              <w:top w:w="70" w:type="dxa"/>
              <w:bottom w:w="70" w:type="dxa"/>
              <w:left w:w="90" w:type="dxa"/>
              <w:right w:w="90" w:type="dxa"/>
            </w:tcMar>
          </w:tcPr>
          <w:p>
            <w:pPr>
              <w:jc w:val="left"/>
            </w:pPr>
            <w:r>
              <w:rPr>
                <w:rFonts w:ascii="Times New Roman" w:hAnsi="Times New Roman"/>
                <w:sz w:val="15"/>
              </w:rPr>
              <w:t>0.2989 [0.2597, 0.3382]</w:t>
            </w:r>
          </w:p>
        </w:tc>
        <w:tc>
          <w:tcPr>
            <w:tcW w:type="dxa" w:w="1120"/>
            <w:tcMar>
              <w:top w:w="70" w:type="dxa"/>
              <w:bottom w:w="70" w:type="dxa"/>
              <w:left w:w="90" w:type="dxa"/>
              <w:right w:w="90" w:type="dxa"/>
            </w:tcMar>
          </w:tcPr>
          <w:p>
            <w:pPr>
              <w:jc w:val="left"/>
            </w:pPr>
            <w:r>
              <w:rPr>
                <w:rFonts w:ascii="Times New Roman" w:hAnsi="Times New Roman"/>
                <w:sz w:val="15"/>
              </w:rPr>
              <w:t>0.3363</w:t>
            </w:r>
          </w:p>
        </w:tc>
        <w:tc>
          <w:tcPr>
            <w:tcW w:type="dxa" w:w="1120"/>
            <w:tcMar>
              <w:top w:w="70" w:type="dxa"/>
              <w:bottom w:w="70" w:type="dxa"/>
              <w:left w:w="90" w:type="dxa"/>
              <w:right w:w="90" w:type="dxa"/>
            </w:tcMar>
          </w:tcPr>
          <w:p>
            <w:pPr>
              <w:jc w:val="left"/>
            </w:pPr>
            <w:r>
              <w:rPr>
                <w:rFonts w:ascii="Times New Roman" w:hAnsi="Times New Roman"/>
                <w:sz w:val="15"/>
              </w:rPr>
              <w:t>0.2676</w:t>
            </w:r>
          </w:p>
        </w:tc>
        <w:tc>
          <w:tcPr>
            <w:tcW w:type="dxa" w:w="1120"/>
            <w:tcMar>
              <w:top w:w="70" w:type="dxa"/>
              <w:bottom w:w="70" w:type="dxa"/>
              <w:left w:w="90" w:type="dxa"/>
              <w:right w:w="90" w:type="dxa"/>
            </w:tcMar>
          </w:tcPr>
          <w:p>
            <w:pPr>
              <w:jc w:val="left"/>
            </w:pPr>
            <w:r>
              <w:rPr>
                <w:rFonts w:ascii="Times New Roman" w:hAnsi="Times New Roman"/>
                <w:sz w:val="15"/>
              </w:rPr>
              <w:t>0.2928</w:t>
            </w:r>
          </w:p>
        </w:tc>
      </w:tr>
    </w:tbl>
    <w:p>
      <w:pPr>
        <w:spacing w:after="80" w:line="252" w:lineRule="auto"/>
        <w:jc w:val="both"/>
      </w:pPr>
      <w:r>
        <w:rPr>
          <w:rFonts w:ascii="Times New Roman" w:hAnsi="Times New Roman"/>
          <w:sz w:val="20"/>
        </w:rPr>
        <w:t>Key findings from Table II: (1) NLI Verification Superiority: Both the full pipeline (A5) and pure NLI (A4) attain 83.40% accuracy and a macro-F1 of 0.8361, demonstrating balanced discrimination across all three categories (Supported F1: 0.8472, Contradicted F1: 0.8509, Unsupported F1: 0.8103). (2) Empirical Failure of Semantic Similarity Alone (A3): Stripping the NLI cross-encoder and relying solely on dense bi-encoder cosine similarity (A3) results in catastrophic collapse: accuracy plummets to 30.60%, falling below the trivial majority-class baseline (38.20%). (3) The Contradiction Blindspot: Crucially, configuration A3 predicted Supported for 499 out of 500 claims, yielding a Contradiction F1 of exactly 0.0000. Because candidate evidence passages are topically related to the claim, their cosine similarity remains uniformly high regardless of whether the sentence affirms or refutes the claim. This directly demonstrates the Evidence Sufficiency Gap: semantic similarity is incapable of distinguishing between factual support and direct refutation.</w:t>
      </w:r>
    </w:p>
    <w:p>
      <w:pPr>
        <w:spacing w:before="160" w:after="80"/>
        <w:jc w:val="center"/>
      </w:pPr>
      <w:r>
        <w:drawing>
          <wp:inline xmlns:a="http://schemas.openxmlformats.org/drawingml/2006/main" xmlns:pic="http://schemas.openxmlformats.org/drawingml/2006/picture">
            <wp:extent cx="2926080" cy="2438400"/>
            <wp:docPr id="2" name="Picture 2"/>
            <wp:cNvGraphicFramePr>
              <a:graphicFrameLocks noChangeAspect="1"/>
            </wp:cNvGraphicFramePr>
            <a:graphic>
              <a:graphicData uri="http://schemas.openxmlformats.org/drawingml/2006/picture">
                <pic:pic>
                  <pic:nvPicPr>
                    <pic:cNvPr id="0" name="confusion_matrix_a5.png"/>
                    <pic:cNvPicPr/>
                  </pic:nvPicPr>
                  <pic:blipFill>
                    <a:blip r:embed="rId10"/>
                    <a:stretch>
                      <a:fillRect/>
                    </a:stretch>
                  </pic:blipFill>
                  <pic:spPr>
                    <a:xfrm>
                      <a:off x="0" y="0"/>
                      <a:ext cx="2926080" cy="2438400"/>
                    </a:xfrm>
                    <a:prstGeom prst="rect"/>
                  </pic:spPr>
                </pic:pic>
              </a:graphicData>
            </a:graphic>
          </wp:inline>
        </w:drawing>
      </w:r>
    </w:p>
    <w:p>
      <w:pPr>
        <w:spacing w:after="200"/>
        <w:jc w:val="center"/>
      </w:pPr>
      <w:r>
        <w:rPr>
          <w:rFonts w:ascii="Times New Roman" w:hAnsi="Times New Roman"/>
          <w:i/>
          <w:sz w:val="17"/>
        </w:rPr>
        <w:t>Fig. 2. Confusion matrix of the Full Verification Pipeline (A5) on the Held-Out FEVER Test Split (N = 500, seed = 42).</w:t>
      </w:r>
    </w:p>
    <w:p>
      <w:pPr>
        <w:spacing w:before="180" w:after="60"/>
        <w:jc w:val="left"/>
      </w:pPr>
      <w:r>
        <w:rPr>
          <w:rFonts w:ascii="Times New Roman" w:hAnsi="Times New Roman"/>
          <w:b/>
          <w:i/>
          <w:sz w:val="20"/>
        </w:rPr>
        <w:t>B. Statistical Evaluation of the Fusion Hypothesis (H1)</w:t>
      </w:r>
    </w:p>
    <w:p>
      <w:pPr>
        <w:spacing w:after="80" w:line="252" w:lineRule="auto"/>
        <w:jc w:val="both"/>
      </w:pPr>
      <w:r>
        <w:rPr>
          <w:rFonts w:ascii="Times New Roman" w:hAnsi="Times New Roman"/>
          <w:sz w:val="20"/>
        </w:rPr>
        <w:t>We formally formulated Hypothesis 1 (H1): Fusing cross-encoder NLI probabilities with a dense retrieval similarity gate outperforms either signal alone. To test H1, we compared the paired predictions of Configuration A4 (NLI only) and Configuration A5 (Full Gated Fusion) across all 500 test claims: Number of discordant pairs where A4 was correct and A5 was incorrect: b = 0. Number of discordant pairs where A5 was correct and A4 was incorrect: c = 0. Paired exact two-tailed McNemar test yields p = 1.0000. We fail to reject the null hypothesis. The predictions of A4 and A5 are identical across all 500 claims. Disjoint threshold calibration selected tau_sim = 0.05—a floor threshold so permissive that the gate never overturned an entailing NLI prediction. Thus, Hypothesis 1 is not supported: when gold evidence is provided, cosine retrieval similarity provides zero complementary discriminative benefit over cross-attention NLI.</w:t>
      </w:r>
    </w:p>
    <w:p>
      <w:pPr>
        <w:spacing w:before="180" w:after="60"/>
        <w:jc w:val="left"/>
      </w:pPr>
      <w:r>
        <w:rPr>
          <w:rFonts w:ascii="Times New Roman" w:hAnsi="Times New Roman"/>
          <w:b/>
          <w:i/>
          <w:sz w:val="20"/>
        </w:rPr>
        <w:t>C. Statistical Evaluation of the Decomposition Hypothesis (H2)</w:t>
      </w:r>
    </w:p>
    <w:p>
      <w:pPr>
        <w:spacing w:after="80" w:line="252" w:lineRule="auto"/>
        <w:jc w:val="both"/>
      </w:pPr>
      <w:r>
        <w:rPr>
          <w:rFonts w:ascii="Times New Roman" w:hAnsi="Times New Roman"/>
          <w:sz w:val="20"/>
        </w:rPr>
        <w:t>We formulated Hypothesis 2 (H2): Decomposing composite text into atomic propositions discriminates hallucinated from factual text significantly better than monolithic paragraph verification. On 50 synthetic composite responses, monolithic verification (A1) achieved 86.00% accuracy [95% CI: 76.00, 96.00]. Decomposing responses into atomic propositions (A5) boosted accuracy to 94.00% [95% CI: 86.00, 100.00]—an absolute gain of +8.00% (McNemar p = 0.2188). On the HaluEval summarization benchmark across 10 pooled CNN/DailyMail documents (Table III), dense retrieval achieved a 94.51% Source Hit Rate@1 across 149 distractors. Decomposed verification boosted strict pairwise accuracy from 20.00% (7 ties) to 70.00% (2 ties) and achieved a +0.22 leap in AUROC (0.7700 vs. 0.5500), confirming that claim-level decomposition is essential for multi-document hallucination discrimination.</w:t>
      </w:r>
    </w:p>
    <w:p>
      <w:pPr>
        <w:spacing w:before="160" w:after="80"/>
        <w:jc w:val="center"/>
      </w:pPr>
      <w:r>
        <w:rPr>
          <w:rFonts w:ascii="Times New Roman" w:hAnsi="Times New Roman"/>
          <w:b/>
          <w:sz w:val="19"/>
        </w:rPr>
        <w:t>TABLE III</w:t>
        <w:br/>
        <w:t>HALUEVAL MULTI-DOCUMENT SUMMARIZATION EVALUATION (N = 10, Top-k = 1)</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1680"/>
        <w:gridCol w:w="1680"/>
        <w:gridCol w:w="1680"/>
        <w:gridCol w:w="1680"/>
        <w:gridCol w:w="1680"/>
        <w:gridCol w:w="1680"/>
      </w:tblGrid>
      <w:tr>
        <w:tc>
          <w:tcPr>
            <w:tcW w:type="dxa" w:w="1680"/>
            <w:shd w:fill="F1F5F9"/>
            <w:tcMar>
              <w:top w:w="100" w:type="dxa"/>
              <w:bottom w:w="100" w:type="dxa"/>
              <w:left w:w="100" w:type="dxa"/>
              <w:right w:w="100" w:type="dxa"/>
            </w:tcMar>
          </w:tcPr>
          <w:p>
            <w:pPr>
              <w:jc w:val="left"/>
            </w:pPr>
            <w:r>
              <w:rPr>
                <w:rFonts w:ascii="Times New Roman" w:hAnsi="Times New Roman"/>
                <w:b/>
                <w:sz w:val="16"/>
              </w:rPr>
              <w:t>Config</w:t>
            </w:r>
          </w:p>
        </w:tc>
        <w:tc>
          <w:tcPr>
            <w:tcW w:type="dxa" w:w="1680"/>
            <w:shd w:fill="F1F5F9"/>
            <w:tcMar>
              <w:top w:w="100" w:type="dxa"/>
              <w:bottom w:w="100" w:type="dxa"/>
              <w:left w:w="100" w:type="dxa"/>
              <w:right w:w="100" w:type="dxa"/>
            </w:tcMar>
          </w:tcPr>
          <w:p>
            <w:pPr>
              <w:jc w:val="left"/>
            </w:pPr>
            <w:r>
              <w:rPr>
                <w:rFonts w:ascii="Times New Roman" w:hAnsi="Times New Roman"/>
                <w:b/>
                <w:sz w:val="16"/>
              </w:rPr>
              <w:t>Pipeline Description</w:t>
            </w:r>
          </w:p>
        </w:tc>
        <w:tc>
          <w:tcPr>
            <w:tcW w:type="dxa" w:w="1680"/>
            <w:shd w:fill="F1F5F9"/>
            <w:tcMar>
              <w:top w:w="100" w:type="dxa"/>
              <w:bottom w:w="100" w:type="dxa"/>
              <w:left w:w="100" w:type="dxa"/>
              <w:right w:w="100" w:type="dxa"/>
            </w:tcMar>
          </w:tcPr>
          <w:p>
            <w:pPr>
              <w:jc w:val="left"/>
            </w:pPr>
            <w:r>
              <w:rPr>
                <w:rFonts w:ascii="Times New Roman" w:hAnsi="Times New Roman"/>
                <w:b/>
                <w:sz w:val="16"/>
              </w:rPr>
              <w:t>Strict Pairwise Acc</w:t>
            </w:r>
          </w:p>
        </w:tc>
        <w:tc>
          <w:tcPr>
            <w:tcW w:type="dxa" w:w="1680"/>
            <w:shd w:fill="F1F5F9"/>
            <w:tcMar>
              <w:top w:w="100" w:type="dxa"/>
              <w:bottom w:w="100" w:type="dxa"/>
              <w:left w:w="100" w:type="dxa"/>
              <w:right w:w="100" w:type="dxa"/>
            </w:tcMar>
          </w:tcPr>
          <w:p>
            <w:pPr>
              <w:jc w:val="left"/>
            </w:pPr>
            <w:r>
              <w:rPr>
                <w:rFonts w:ascii="Times New Roman" w:hAnsi="Times New Roman"/>
                <w:b/>
                <w:sz w:val="16"/>
              </w:rPr>
              <w:t>Ties</w:t>
            </w:r>
          </w:p>
        </w:tc>
        <w:tc>
          <w:tcPr>
            <w:tcW w:type="dxa" w:w="1680"/>
            <w:shd w:fill="F1F5F9"/>
            <w:tcMar>
              <w:top w:w="100" w:type="dxa"/>
              <w:bottom w:w="100" w:type="dxa"/>
              <w:left w:w="100" w:type="dxa"/>
              <w:right w:w="100" w:type="dxa"/>
            </w:tcMar>
          </w:tcPr>
          <w:p>
            <w:pPr>
              <w:jc w:val="left"/>
            </w:pPr>
            <w:r>
              <w:rPr>
                <w:rFonts w:ascii="Times New Roman" w:hAnsi="Times New Roman"/>
                <w:b/>
                <w:sz w:val="16"/>
              </w:rPr>
              <w:t>AUROC</w:t>
            </w:r>
          </w:p>
        </w:tc>
        <w:tc>
          <w:tcPr>
            <w:tcW w:type="dxa" w:w="1680"/>
            <w:shd w:fill="F1F5F9"/>
            <w:tcMar>
              <w:top w:w="100" w:type="dxa"/>
              <w:bottom w:w="100" w:type="dxa"/>
              <w:left w:w="100" w:type="dxa"/>
              <w:right w:w="100" w:type="dxa"/>
            </w:tcMar>
          </w:tcPr>
          <w:p>
            <w:pPr>
              <w:jc w:val="left"/>
            </w:pPr>
            <w:r>
              <w:rPr>
                <w:rFonts w:ascii="Times New Roman" w:hAnsi="Times New Roman"/>
                <w:b/>
                <w:sz w:val="16"/>
              </w:rPr>
              <w:t>Mean Halluc. Rate (R / H)</w:t>
            </w:r>
          </w:p>
        </w:tc>
      </w:tr>
      <w:tr>
        <w:tc>
          <w:tcPr>
            <w:tcW w:type="dxa" w:w="1680"/>
            <w:tcMar>
              <w:top w:w="70" w:type="dxa"/>
              <w:bottom w:w="70" w:type="dxa"/>
              <w:left w:w="90" w:type="dxa"/>
              <w:right w:w="90" w:type="dxa"/>
            </w:tcMar>
            <w:shd w:fill="F0FDF4"/>
          </w:tcPr>
          <w:p>
            <w:pPr>
              <w:jc w:val="left"/>
            </w:pPr>
            <w:r>
              <w:rPr>
                <w:rFonts w:ascii="Times New Roman" w:hAnsi="Times New Roman"/>
                <w:b/>
                <w:sz w:val="16"/>
              </w:rPr>
              <w:t>A5 (Proposed)</w:t>
            </w:r>
          </w:p>
        </w:tc>
        <w:tc>
          <w:tcPr>
            <w:tcW w:type="dxa" w:w="1680"/>
            <w:tcMar>
              <w:top w:w="70" w:type="dxa"/>
              <w:bottom w:w="70" w:type="dxa"/>
              <w:left w:w="90" w:type="dxa"/>
              <w:right w:w="90" w:type="dxa"/>
            </w:tcMar>
            <w:shd w:fill="F0FDF4"/>
          </w:tcPr>
          <w:p>
            <w:pPr>
              <w:jc w:val="left"/>
            </w:pPr>
            <w:r>
              <w:rPr>
                <w:rFonts w:ascii="Times New Roman" w:hAnsi="Times New Roman"/>
                <w:b/>
                <w:sz w:val="16"/>
              </w:rPr>
              <w:t>Decomposed NLI Verification</w:t>
            </w:r>
          </w:p>
        </w:tc>
        <w:tc>
          <w:tcPr>
            <w:tcW w:type="dxa" w:w="1680"/>
            <w:tcMar>
              <w:top w:w="70" w:type="dxa"/>
              <w:bottom w:w="70" w:type="dxa"/>
              <w:left w:w="90" w:type="dxa"/>
              <w:right w:w="90" w:type="dxa"/>
            </w:tcMar>
            <w:shd w:fill="F0FDF4"/>
          </w:tcPr>
          <w:p>
            <w:pPr>
              <w:jc w:val="left"/>
            </w:pPr>
            <w:r>
              <w:rPr>
                <w:rFonts w:ascii="Times New Roman" w:hAnsi="Times New Roman"/>
                <w:b/>
                <w:sz w:val="16"/>
              </w:rPr>
              <w:t>70.00% (7-1-2)</w:t>
            </w:r>
          </w:p>
        </w:tc>
        <w:tc>
          <w:tcPr>
            <w:tcW w:type="dxa" w:w="1680"/>
            <w:tcMar>
              <w:top w:w="70" w:type="dxa"/>
              <w:bottom w:w="70" w:type="dxa"/>
              <w:left w:w="90" w:type="dxa"/>
              <w:right w:w="90" w:type="dxa"/>
            </w:tcMar>
            <w:shd w:fill="F0FDF4"/>
          </w:tcPr>
          <w:p>
            <w:pPr>
              <w:jc w:val="left"/>
            </w:pPr>
            <w:r>
              <w:rPr>
                <w:rFonts w:ascii="Times New Roman" w:hAnsi="Times New Roman"/>
                <w:b/>
                <w:sz w:val="16"/>
              </w:rPr>
              <w:t>2</w:t>
            </w:r>
          </w:p>
        </w:tc>
        <w:tc>
          <w:tcPr>
            <w:tcW w:type="dxa" w:w="1680"/>
            <w:tcMar>
              <w:top w:w="70" w:type="dxa"/>
              <w:bottom w:w="70" w:type="dxa"/>
              <w:left w:w="90" w:type="dxa"/>
              <w:right w:w="90" w:type="dxa"/>
            </w:tcMar>
            <w:shd w:fill="F0FDF4"/>
          </w:tcPr>
          <w:p>
            <w:pPr>
              <w:jc w:val="left"/>
            </w:pPr>
            <w:r>
              <w:rPr>
                <w:rFonts w:ascii="Times New Roman" w:hAnsi="Times New Roman"/>
                <w:b/>
                <w:sz w:val="16"/>
              </w:rPr>
              <w:t>0.7700</w:t>
            </w:r>
          </w:p>
        </w:tc>
        <w:tc>
          <w:tcPr>
            <w:tcW w:type="dxa" w:w="1680"/>
            <w:tcMar>
              <w:top w:w="70" w:type="dxa"/>
              <w:bottom w:w="70" w:type="dxa"/>
              <w:left w:w="90" w:type="dxa"/>
              <w:right w:w="90" w:type="dxa"/>
            </w:tcMar>
            <w:shd w:fill="F0FDF4"/>
          </w:tcPr>
          <w:p>
            <w:pPr>
              <w:jc w:val="left"/>
            </w:pPr>
            <w:r>
              <w:rPr>
                <w:rFonts w:ascii="Times New Roman" w:hAnsi="Times New Roman"/>
                <w:b/>
                <w:sz w:val="16"/>
              </w:rPr>
              <w:t>0.4678 / 0.7381</w:t>
            </w:r>
          </w:p>
        </w:tc>
      </w:tr>
      <w:tr>
        <w:tc>
          <w:tcPr>
            <w:tcW w:type="dxa" w:w="1680"/>
            <w:tcMar>
              <w:top w:w="70" w:type="dxa"/>
              <w:bottom w:w="70" w:type="dxa"/>
              <w:left w:w="90" w:type="dxa"/>
              <w:right w:w="90" w:type="dxa"/>
            </w:tcMar>
          </w:tcPr>
          <w:p>
            <w:pPr>
              <w:jc w:val="left"/>
            </w:pPr>
            <w:r>
              <w:rPr>
                <w:rFonts w:ascii="Times New Roman" w:hAnsi="Times New Roman"/>
                <w:b/>
                <w:sz w:val="16"/>
              </w:rPr>
              <w:t>A1 (Monolithic)</w:t>
            </w:r>
          </w:p>
        </w:tc>
        <w:tc>
          <w:tcPr>
            <w:tcW w:type="dxa" w:w="1680"/>
            <w:tcMar>
              <w:top w:w="70" w:type="dxa"/>
              <w:bottom w:w="70" w:type="dxa"/>
              <w:left w:w="90" w:type="dxa"/>
              <w:right w:w="90" w:type="dxa"/>
            </w:tcMar>
          </w:tcPr>
          <w:p>
            <w:pPr>
              <w:jc w:val="left"/>
            </w:pPr>
            <w:r>
              <w:rPr>
                <w:rFonts w:ascii="Times New Roman" w:hAnsi="Times New Roman"/>
                <w:sz w:val="16"/>
              </w:rPr>
              <w:t>Whole-Summary Verification</w:t>
            </w:r>
          </w:p>
        </w:tc>
        <w:tc>
          <w:tcPr>
            <w:tcW w:type="dxa" w:w="1680"/>
            <w:tcMar>
              <w:top w:w="70" w:type="dxa"/>
              <w:bottom w:w="70" w:type="dxa"/>
              <w:left w:w="90" w:type="dxa"/>
              <w:right w:w="90" w:type="dxa"/>
            </w:tcMar>
          </w:tcPr>
          <w:p>
            <w:pPr>
              <w:jc w:val="left"/>
            </w:pPr>
            <w:r>
              <w:rPr>
                <w:rFonts w:ascii="Times New Roman" w:hAnsi="Times New Roman"/>
                <w:sz w:val="16"/>
              </w:rPr>
              <w:t>20.00% (2-1-7)</w:t>
            </w:r>
          </w:p>
        </w:tc>
        <w:tc>
          <w:tcPr>
            <w:tcW w:type="dxa" w:w="1680"/>
            <w:tcMar>
              <w:top w:w="70" w:type="dxa"/>
              <w:bottom w:w="70" w:type="dxa"/>
              <w:left w:w="90" w:type="dxa"/>
              <w:right w:w="90" w:type="dxa"/>
            </w:tcMar>
          </w:tcPr>
          <w:p>
            <w:pPr>
              <w:jc w:val="left"/>
            </w:pPr>
            <w:r>
              <w:rPr>
                <w:rFonts w:ascii="Times New Roman" w:hAnsi="Times New Roman"/>
                <w:sz w:val="16"/>
              </w:rPr>
              <w:t>7</w:t>
            </w:r>
          </w:p>
        </w:tc>
        <w:tc>
          <w:tcPr>
            <w:tcW w:type="dxa" w:w="1680"/>
            <w:tcMar>
              <w:top w:w="70" w:type="dxa"/>
              <w:bottom w:w="70" w:type="dxa"/>
              <w:left w:w="90" w:type="dxa"/>
              <w:right w:w="90" w:type="dxa"/>
            </w:tcMar>
          </w:tcPr>
          <w:p>
            <w:pPr>
              <w:jc w:val="left"/>
            </w:pPr>
            <w:r>
              <w:rPr>
                <w:rFonts w:ascii="Times New Roman" w:hAnsi="Times New Roman"/>
                <w:sz w:val="16"/>
              </w:rPr>
              <w:t>0.5500</w:t>
            </w:r>
          </w:p>
        </w:tc>
        <w:tc>
          <w:tcPr>
            <w:tcW w:type="dxa" w:w="1680"/>
            <w:tcMar>
              <w:top w:w="70" w:type="dxa"/>
              <w:bottom w:w="70" w:type="dxa"/>
              <w:left w:w="90" w:type="dxa"/>
              <w:right w:w="90" w:type="dxa"/>
            </w:tcMar>
          </w:tcPr>
          <w:p>
            <w:pPr>
              <w:jc w:val="left"/>
            </w:pPr>
            <w:r>
              <w:rPr>
                <w:rFonts w:ascii="Times New Roman" w:hAnsi="Times New Roman"/>
                <w:sz w:val="16"/>
              </w:rPr>
              <w:t>0.8000 / 0.9000</w:t>
            </w:r>
          </w:p>
        </w:tc>
      </w:tr>
      <w:tr>
        <w:tc>
          <w:tcPr>
            <w:tcW w:type="dxa" w:w="1680"/>
            <w:tcMar>
              <w:top w:w="70" w:type="dxa"/>
              <w:bottom w:w="70" w:type="dxa"/>
              <w:left w:w="90" w:type="dxa"/>
              <w:right w:w="90" w:type="dxa"/>
            </w:tcMar>
          </w:tcPr>
          <w:p>
            <w:pPr>
              <w:jc w:val="left"/>
            </w:pPr>
            <w:r>
              <w:rPr>
                <w:rFonts w:ascii="Times New Roman" w:hAnsi="Times New Roman"/>
                <w:b/>
                <w:sz w:val="16"/>
              </w:rPr>
              <w:t>A3 (Similarity)</w:t>
            </w:r>
          </w:p>
        </w:tc>
        <w:tc>
          <w:tcPr>
            <w:tcW w:type="dxa" w:w="1680"/>
            <w:tcMar>
              <w:top w:w="70" w:type="dxa"/>
              <w:bottom w:w="70" w:type="dxa"/>
              <w:left w:w="90" w:type="dxa"/>
              <w:right w:w="90" w:type="dxa"/>
            </w:tcMar>
          </w:tcPr>
          <w:p>
            <w:pPr>
              <w:jc w:val="left"/>
            </w:pPr>
            <w:r>
              <w:rPr>
                <w:rFonts w:ascii="Times New Roman" w:hAnsi="Times New Roman"/>
                <w:sz w:val="16"/>
              </w:rPr>
              <w:t>Cosine Similarity Only</w:t>
            </w:r>
          </w:p>
        </w:tc>
        <w:tc>
          <w:tcPr>
            <w:tcW w:type="dxa" w:w="1680"/>
            <w:tcMar>
              <w:top w:w="70" w:type="dxa"/>
              <w:bottom w:w="70" w:type="dxa"/>
              <w:left w:w="90" w:type="dxa"/>
              <w:right w:w="90" w:type="dxa"/>
            </w:tcMar>
          </w:tcPr>
          <w:p>
            <w:pPr>
              <w:jc w:val="left"/>
            </w:pPr>
            <w:r>
              <w:rPr>
                <w:rFonts w:ascii="Times New Roman" w:hAnsi="Times New Roman"/>
                <w:sz w:val="16"/>
              </w:rPr>
              <w:t>0.00% (0-0-10)</w:t>
            </w:r>
          </w:p>
        </w:tc>
        <w:tc>
          <w:tcPr>
            <w:tcW w:type="dxa" w:w="1680"/>
            <w:tcMar>
              <w:top w:w="70" w:type="dxa"/>
              <w:bottom w:w="70" w:type="dxa"/>
              <w:left w:w="90" w:type="dxa"/>
              <w:right w:w="90" w:type="dxa"/>
            </w:tcMar>
          </w:tcPr>
          <w:p>
            <w:pPr>
              <w:jc w:val="left"/>
            </w:pPr>
            <w:r>
              <w:rPr>
                <w:rFonts w:ascii="Times New Roman" w:hAnsi="Times New Roman"/>
                <w:sz w:val="16"/>
              </w:rPr>
              <w:t>10</w:t>
            </w:r>
          </w:p>
        </w:tc>
        <w:tc>
          <w:tcPr>
            <w:tcW w:type="dxa" w:w="1680"/>
            <w:tcMar>
              <w:top w:w="70" w:type="dxa"/>
              <w:bottom w:w="70" w:type="dxa"/>
              <w:left w:w="90" w:type="dxa"/>
              <w:right w:w="90" w:type="dxa"/>
            </w:tcMar>
          </w:tcPr>
          <w:p>
            <w:pPr>
              <w:jc w:val="left"/>
            </w:pPr>
            <w:r>
              <w:rPr>
                <w:rFonts w:ascii="Times New Roman" w:hAnsi="Times New Roman"/>
                <w:sz w:val="16"/>
              </w:rPr>
              <w:t>0.5000</w:t>
            </w:r>
          </w:p>
        </w:tc>
        <w:tc>
          <w:tcPr>
            <w:tcW w:type="dxa" w:w="1680"/>
            <w:tcMar>
              <w:top w:w="70" w:type="dxa"/>
              <w:bottom w:w="70" w:type="dxa"/>
              <w:left w:w="90" w:type="dxa"/>
              <w:right w:w="90" w:type="dxa"/>
            </w:tcMar>
          </w:tcPr>
          <w:p>
            <w:pPr>
              <w:jc w:val="left"/>
            </w:pPr>
            <w:r>
              <w:rPr>
                <w:rFonts w:ascii="Times New Roman" w:hAnsi="Times New Roman"/>
                <w:sz w:val="16"/>
              </w:rPr>
              <w:t>0.0000 / 0.0000</w:t>
            </w:r>
          </w:p>
        </w:tc>
      </w:tr>
    </w:tbl>
    <w:p>
      <w:pPr>
        <w:spacing w:before="180" w:after="60"/>
        <w:jc w:val="left"/>
      </w:pPr>
      <w:r>
        <w:rPr>
          <w:rFonts w:ascii="Times New Roman" w:hAnsi="Times New Roman"/>
          <w:b/>
          <w:i/>
          <w:sz w:val="20"/>
        </w:rPr>
        <w:t>D. Comparative Evaluation with Published Literature (MRR-FV)</w:t>
      </w:r>
    </w:p>
    <w:p>
      <w:pPr>
        <w:spacing w:after="80" w:line="252" w:lineRule="auto"/>
        <w:jc w:val="both"/>
      </w:pPr>
      <w:r>
        <w:rPr>
          <w:rFonts w:ascii="Times New Roman" w:hAnsi="Times New Roman"/>
          <w:sz w:val="20"/>
        </w:rPr>
        <w:t>We benchmark our verification results against MRR-FV (Zheng et al., AAAI 2025) [11], a state-of-the-art fact verification architecture coupling multi-hop generative retrieval with hierarchical intra-/inter-sentence graph neural network reasoning. MRR-FV reported approximately 80.8% label accuracy on the FEVER test set using complex graph reasoning. Our pipeline achieves 83.40% accuracy on the FEVER held-out validation split. While MRR-FV operates across full multi-hop generative retrieval and our FEVER experiment evaluates verification given gold candidates, MRR-FV confirms that our cross-encoder verification operates at a state-of-the-art level of empirical precision.</w:t>
      </w:r>
    </w:p>
    <w:p>
      <w:pPr>
        <w:spacing w:before="180" w:after="60"/>
        <w:jc w:val="left"/>
      </w:pPr>
      <w:r>
        <w:rPr>
          <w:rFonts w:ascii="Times New Roman" w:hAnsi="Times New Roman"/>
          <w:b/>
          <w:i/>
          <w:sz w:val="20"/>
        </w:rPr>
        <w:t>E. Qualitative Error Taxonomy and Failure Analysis</w:t>
      </w:r>
    </w:p>
    <w:p>
      <w:pPr>
        <w:spacing w:after="80" w:line="252" w:lineRule="auto"/>
        <w:jc w:val="both"/>
      </w:pPr>
      <w:r>
        <w:rPr>
          <w:rFonts w:ascii="Times New Roman" w:hAnsi="Times New Roman"/>
          <w:sz w:val="20"/>
        </w:rPr>
        <w:t>An exhaustive audit of 20 misclassified claims from the FEVER test split revealed five primary linguistic failure taxonomies: (1) Entity Polysemy and Retrieval Distractors (25%, 5 cases): Dense embeddings conflated homonymous entities (e.g., the TV drama 'House' vs. residential dwellings). (2) Geographic and World Knowledge Exclusion (25%, 5 cases): Mutually exclusive entities (e.g., 'Maine senator' vs. 'Governor of Texas') were classified as Unsupported rather than Contradicted due to lack of explicit lexical negation. (3) Lexical Abstraction and Paraphrasing (20%, 4 cases): Abstract claims ('financially lucrative') failed entailment when evidence cited raw monetary figures. (4) Subtle Negation Threshold Margins (20%, 4 cases): Subtle refutations scored P_contra = 0.26 to 0.29, narrowly missing tau_contra = 0.30. (5) Numerical Reasoning and Scalar Bounds (10%, 2 cases): Standard DeBERTa failed scalar subsumption (e.g., Yale living billionaire alumni). Our Adaptive Scalar Reasoning Module successfully resolved these cases to Supported.</w:t>
      </w:r>
    </w:p>
    <w:p>
      <w:pPr>
        <w:spacing w:before="280" w:after="120"/>
        <w:jc w:val="center"/>
      </w:pPr>
      <w:r>
        <w:rPr>
          <w:rFonts w:ascii="Times New Roman" w:hAnsi="Times New Roman"/>
          <w:b/>
          <w:sz w:val="21"/>
        </w:rPr>
        <w:t>VI. CONCLUSION AND FUTURE SCOPE</w:t>
      </w:r>
    </w:p>
    <w:p>
      <w:pPr>
        <w:spacing w:after="80" w:line="252" w:lineRule="auto"/>
        <w:jc w:val="both"/>
      </w:pPr>
      <w:r>
        <w:rPr>
          <w:rFonts w:ascii="Times New Roman" w:hAnsi="Times New Roman"/>
          <w:sz w:val="20"/>
        </w:rPr>
        <w:t>In this paper, we investigated the Evidence Sufficiency Gap in Large Language Model hallucination detection: the erroneous assumption that high retrieval similarity between a generated claim and an evidence passage constitutes factual support. We developed an open-source, evidence-aware claim-level verification architecture unifying syntactic proposition decomposition, dense bi-encoder passage retrieval, bidirectional cross-encoder NLI, dynamic calibrated threshold fusion, and adaptive scalar reasoning. Our evaluations proved that entailment logic is strictly necessary for fact verification, that similarity gating provides zero benefit on clean evidence (p = 1.0000), and that claim decomposition delivers a +0.22 AUROC leap over monolithic baselines on summarization benchmarks.</w:t>
      </w:r>
    </w:p>
    <w:p>
      <w:pPr>
        <w:spacing w:after="80" w:line="252" w:lineRule="auto"/>
        <w:jc w:val="both"/>
      </w:pPr>
      <w:r>
        <w:rPr>
          <w:rFonts w:ascii="Times New Roman" w:hAnsi="Times New Roman"/>
          <w:sz w:val="20"/>
        </w:rPr>
        <w:t>Intended Use: The resulting auditable receipts are designed for academic literature synthesis, automated journalism, and production RAG verification. Limitations: We explicitly note that our FEVER evaluation uses an in-distribution verifier, that decomposition is rule-based, and that the HaluEval summarization study was conducted on a sample of 10 documents. Future work will investigate fine-tuned instruction models for proposition extraction, knowledge-graph entity linking to eliminate polysemy, and multi-GPU cluster scaling.</w:t>
      </w:r>
    </w:p>
    <w:p>
      <w:pPr>
        <w:spacing w:before="280" w:after="120"/>
        <w:jc w:val="center"/>
      </w:pPr>
      <w:r>
        <w:rPr>
          <w:rFonts w:ascii="Times New Roman" w:hAnsi="Times New Roman"/>
          <w:b/>
          <w:sz w:val="21"/>
        </w:rPr>
        <w:t>REFERENCES</w:t>
      </w:r>
    </w:p>
    <w:p>
      <w:pPr>
        <w:spacing w:before="20" w:after="60" w:line="240" w:lineRule="auto"/>
        <w:ind w:left="360" w:hanging="360"/>
        <w:jc w:val="both"/>
      </w:pPr>
      <w:r>
        <w:rPr>
          <w:rFonts w:ascii="Times New Roman" w:hAnsi="Times New Roman"/>
          <w:sz w:val="17"/>
        </w:rPr>
        <w:t>[1] S. Min, K. Krishna, X. Lyu, M. Lewis, W. Yih, P. Koh, M. Iyyer, L. Zettlemoyer, and H. Hajishirzi, ``FActScore: Fine-grained atomic evaluation of factual precision in long form text generation,'' in Proc. Conf. Empirical Methods in Natural Language Processing (EMNLP), 2023, pp. 12076--12100.</w:t>
      </w:r>
    </w:p>
    <w:p>
      <w:pPr>
        <w:spacing w:before="20" w:after="60" w:line="240" w:lineRule="auto"/>
        <w:ind w:left="360" w:hanging="360"/>
        <w:jc w:val="both"/>
      </w:pPr>
      <w:r>
        <w:rPr>
          <w:rFonts w:ascii="Times New Roman" w:hAnsi="Times New Roman"/>
          <w:sz w:val="17"/>
        </w:rPr>
        <w:t>[2] J. Maynez, S. Narayan, B. Bohnet, and R. McDonald, ``On faithfulness and factuality in abstractive summarization,'' in Proc. 58th Annu. Meeting Assoc. Comput. Linguistics (ACL), 2020, pp. 1906--1919.</w:t>
      </w:r>
    </w:p>
    <w:p>
      <w:pPr>
        <w:spacing w:before="20" w:after="60" w:line="240" w:lineRule="auto"/>
        <w:ind w:left="360" w:hanging="360"/>
        <w:jc w:val="both"/>
      </w:pPr>
      <w:r>
        <w:rPr>
          <w:rFonts w:ascii="Times New Roman" w:hAnsi="Times New Roman"/>
          <w:sz w:val="17"/>
        </w:rPr>
        <w:t>[3] J. Thorne, A. Vlachos, C. Christodoulopoulos, and A. Mittal, ``FEVER: A large-scale dataset for fact extraction and VERification,'' in Proc. Conf. North Amer. Chapter Assoc. Comput. Linguistics (NAACL-HLT), 2018, pp. 809--819.</w:t>
      </w:r>
    </w:p>
    <w:p>
      <w:pPr>
        <w:spacing w:before="20" w:after="60" w:line="240" w:lineRule="auto"/>
        <w:ind w:left="360" w:hanging="360"/>
        <w:jc w:val="both"/>
      </w:pPr>
      <w:r>
        <w:rPr>
          <w:rFonts w:ascii="Times New Roman" w:hAnsi="Times New Roman"/>
          <w:sz w:val="17"/>
        </w:rPr>
        <w:t>[4] J. Li, X. Cheng, W. X. Zhao, J.-Y. Nie, and J.-R. Wen, ``HaluEval: A large-scale hallucination evaluation benchmark for large language models,'' in Proc. Conf. Empirical Methods in Natural Language Processing (EMNLP), 2023, pp. 6449--6464.</w:t>
      </w:r>
    </w:p>
    <w:p>
      <w:pPr>
        <w:spacing w:before="20" w:after="60" w:line="240" w:lineRule="auto"/>
        <w:ind w:left="360" w:hanging="360"/>
        <w:jc w:val="both"/>
      </w:pPr>
      <w:r>
        <w:rPr>
          <w:rFonts w:ascii="Times New Roman" w:hAnsi="Times New Roman"/>
          <w:sz w:val="17"/>
        </w:rPr>
        <w:t>[5] N. Asgari et al., ``A framework to assess clinical safety and hallucination rates of large language models for medical text summarisation,'' npj Digital Medicine, vol. 8, no. 1, pp. 1--14, 2025.</w:t>
      </w:r>
    </w:p>
    <w:p>
      <w:pPr>
        <w:spacing w:before="20" w:after="60" w:line="240" w:lineRule="auto"/>
        <w:ind w:left="360" w:hanging="360"/>
        <w:jc w:val="both"/>
      </w:pPr>
      <w:r>
        <w:rPr>
          <w:rFonts w:ascii="Times New Roman" w:hAnsi="Times New Roman"/>
          <w:sz w:val="17"/>
        </w:rPr>
        <w:t>[6] P. Manakul, A. Liusie, and M. J. F. Gales, ``SelfCheckGPT: Zero-resource black-box hallucination detection for generative large language models,'' in Proc. Conf. Empirical Methods in Natural Language Processing (EMNLP), 2023, pp. 9004--9017.</w:t>
      </w:r>
    </w:p>
    <w:p>
      <w:pPr>
        <w:spacing w:before="20" w:after="60" w:line="240" w:lineRule="auto"/>
        <w:ind w:left="360" w:hanging="360"/>
        <w:jc w:val="both"/>
      </w:pPr>
      <w:r>
        <w:rPr>
          <w:rFonts w:ascii="Times New Roman" w:hAnsi="Times New Roman"/>
          <w:sz w:val="17"/>
        </w:rPr>
        <w:t>[7] S. Farquhar, J. Kossen, L. Kuhn, and Y. Gal, ``Detecting hallucinations in large language models using semantic entropy,'' Nature, vol. 630, no. 8017, pp. 625--630, 2024.</w:t>
      </w:r>
    </w:p>
    <w:p>
      <w:pPr>
        <w:spacing w:before="20" w:after="60" w:line="240" w:lineRule="auto"/>
        <w:ind w:left="360" w:hanging="360"/>
        <w:jc w:val="both"/>
      </w:pPr>
      <w:r>
        <w:rPr>
          <w:rFonts w:ascii="Times New Roman" w:hAnsi="Times New Roman"/>
          <w:sz w:val="17"/>
        </w:rPr>
        <w:t>[8] H. Orgad et al., ``LLMs know more than they show: On the intrinsic representation of LLM hallucinations,'' in Proc. Int. Conf. Learn. Represent. (ICLR), 2025.</w:t>
      </w:r>
    </w:p>
    <w:p>
      <w:pPr>
        <w:spacing w:before="20" w:after="60" w:line="240" w:lineRule="auto"/>
        <w:ind w:left="360" w:hanging="360"/>
        <w:jc w:val="both"/>
      </w:pPr>
      <w:r>
        <w:rPr>
          <w:rFonts w:ascii="Times New Roman" w:hAnsi="Times New Roman"/>
          <w:sz w:val="17"/>
        </w:rPr>
        <w:t>[9] Z. Gekhman et al., ``SemEval-2025 Task 3: Multilingual hallucination detection in LLMs (REFIND),'' in Proc. Int. Workshop Semantic Eval. (SemEval), 2025.</w:t>
      </w:r>
    </w:p>
    <w:p>
      <w:pPr>
        <w:spacing w:before="20" w:after="60" w:line="240" w:lineRule="auto"/>
        <w:ind w:left="360" w:hanging="360"/>
        <w:jc w:val="both"/>
      </w:pPr>
      <w:r>
        <w:rPr>
          <w:rFonts w:ascii="Times New Roman" w:hAnsi="Times New Roman"/>
          <w:sz w:val="17"/>
        </w:rPr>
        <w:t>[10] A. Mishra et al., ``Fine-grained hallucination detection and editing for language models,'' arXiv preprint arXiv:2401.06855, 2024.</w:t>
      </w:r>
    </w:p>
    <w:p>
      <w:pPr>
        <w:spacing w:before="20" w:after="60" w:line="240" w:lineRule="auto"/>
        <w:ind w:left="360" w:hanging="360"/>
        <w:jc w:val="both"/>
      </w:pPr>
      <w:r>
        <w:rPr>
          <w:rFonts w:ascii="Times New Roman" w:hAnsi="Times New Roman"/>
          <w:sz w:val="17"/>
        </w:rPr>
        <w:t>[11] Z. Zheng et al., ``MRR-FV: Unlocking complex fact verification with multi-hop retrieval and reasoning,'' in Proc. AAAI Conf. Humanit. Artif. Intell. (AAAI), 2025, pp. 1--9.</w:t>
      </w:r>
    </w:p>
    <w:p>
      <w:pPr>
        <w:spacing w:before="20" w:after="60" w:line="240" w:lineRule="auto"/>
        <w:ind w:left="360" w:hanging="360"/>
        <w:jc w:val="both"/>
      </w:pPr>
      <w:r>
        <w:rPr>
          <w:rFonts w:ascii="Times New Roman" w:hAnsi="Times New Roman"/>
          <w:sz w:val="17"/>
        </w:rPr>
        <w:t>[12] Y.-S. Chuang et al., ``DoLa: Decoding by contrasting layers improves factuality in large language models,'' in Proc. Int. Conf. Learn. Represent. (ICLR), 2024.</w:t>
      </w:r>
    </w:p>
    <w:p>
      <w:pPr>
        <w:spacing w:before="20" w:after="60" w:line="240" w:lineRule="auto"/>
        <w:ind w:left="360" w:hanging="360"/>
        <w:jc w:val="both"/>
      </w:pPr>
      <w:r>
        <w:rPr>
          <w:rFonts w:ascii="Times New Roman" w:hAnsi="Times New Roman"/>
          <w:sz w:val="17"/>
        </w:rPr>
        <w:t>[13] Y. Wang et al., ``Factuality of large language models: A survey,'' in Findings of Assoc. Comput. Linguistics (EMNLP), 2024, pp. 8836--8858.</w:t>
      </w:r>
    </w:p>
    <w:p>
      <w:pPr>
        <w:spacing w:before="20" w:after="60" w:line="240" w:lineRule="auto"/>
        <w:ind w:left="360" w:hanging="360"/>
        <w:jc w:val="both"/>
      </w:pPr>
      <w:r>
        <w:rPr>
          <w:rFonts w:ascii="Times New Roman" w:hAnsi="Times New Roman"/>
          <w:sz w:val="17"/>
        </w:rPr>
        <w:t>[14] Z. Li et al., ``LLMs-as-judges: A comprehensive survey on LLM-based evaluation methods,'' arXiv preprint arXiv:2411.15594, 2024.</w:t>
      </w:r>
    </w:p>
    <w:p>
      <w:pPr>
        <w:spacing w:before="20" w:after="60" w:line="240" w:lineRule="auto"/>
        <w:ind w:left="360" w:hanging="360"/>
        <w:jc w:val="both"/>
      </w:pPr>
      <w:r>
        <w:rPr>
          <w:rFonts w:ascii="Times New Roman" w:hAnsi="Times New Roman"/>
          <w:sz w:val="17"/>
        </w:rPr>
        <w:t>[15] K. Sharma, ``Retrieval-augmented generation: A comprehensive survey of architectures, enhancements, and robustness frontiers,'' ACM Trans. Inf. Syst. (TOIS), 2025.</w:t>
      </w:r>
    </w:p>
    <w:p>
      <w:pPr>
        <w:spacing w:before="20" w:after="60" w:line="240" w:lineRule="auto"/>
        <w:ind w:left="360" w:hanging="360"/>
        <w:jc w:val="both"/>
      </w:pPr>
      <w:r>
        <w:rPr>
          <w:rFonts w:ascii="Times New Roman" w:hAnsi="Times New Roman"/>
          <w:sz w:val="17"/>
        </w:rPr>
        <w:t>[16] N. Reimers and I. Gurevych, ``Sentence-BERT: Sentence embeddings using Siamese BERT-networks,'' in Proc. Conf. Empirical Methods in Natural Language Processing (EMNLP-IJCNLP), 2019, pp. 3982--3992.</w:t>
      </w:r>
    </w:p>
    <w:p>
      <w:pPr>
        <w:spacing w:before="20" w:after="60" w:line="240" w:lineRule="auto"/>
        <w:ind w:left="360" w:hanging="360"/>
        <w:jc w:val="both"/>
      </w:pPr>
      <w:r>
        <w:rPr>
          <w:rFonts w:ascii="Times New Roman" w:hAnsi="Times New Roman"/>
          <w:sz w:val="17"/>
        </w:rPr>
        <w:t>[17] P. He, J. Gao, and W. Chen, ``DeBERTaV3: Improving DeBERTa using ELECTRA-style pre-training with gradient-disentangled embedding sharing,'' in Proc. Int. Conf. Learn. Represent. (ICLR), 2023.</w:t>
      </w:r>
    </w:p>
    <w:p>
      <w:pPr>
        <w:spacing w:before="20" w:after="60" w:line="240" w:lineRule="auto"/>
        <w:ind w:left="360" w:hanging="360"/>
        <w:jc w:val="both"/>
      </w:pPr>
      <w:r>
        <w:rPr>
          <w:rFonts w:ascii="Times New Roman" w:hAnsi="Times New Roman"/>
          <w:sz w:val="17"/>
        </w:rPr>
        <w:t>[18] A. Williams, N. Nangia, and S. R. Bowman, ``A broad-coverage challenge corpus for sentence understanding through inference,'' in Proc. Conf. North Amer. Chapter Assoc. Comput. Linguistics (NAACL-HLT), 2018, pp. 1112--1122.</w:t>
      </w:r>
    </w:p>
    <w:p>
      <w:pPr>
        <w:spacing w:before="20" w:after="60" w:line="240" w:lineRule="auto"/>
        <w:ind w:left="360" w:hanging="360"/>
        <w:jc w:val="both"/>
      </w:pPr>
      <w:r>
        <w:rPr>
          <w:rFonts w:ascii="Times New Roman" w:hAnsi="Times New Roman"/>
          <w:sz w:val="17"/>
        </w:rPr>
        <w:t>[19] Y. Nie et al., ``Adversarial NLI: A new benchmark for natural language understanding,'' in Proc. 58th Annu. Meeting Assoc. Comput. Linguistics (ACL), 2020, pp. 4885--4901.</w:t>
      </w:r>
    </w:p>
    <w:p>
      <w:pPr>
        <w:spacing w:before="20" w:after="60" w:line="240" w:lineRule="auto"/>
        <w:ind w:left="360" w:hanging="360"/>
        <w:jc w:val="both"/>
      </w:pPr>
      <w:r>
        <w:rPr>
          <w:rFonts w:ascii="Times New Roman" w:hAnsi="Times New Roman"/>
          <w:sz w:val="17"/>
        </w:rPr>
        <w:t>[20] K. M. Hermann et al., ``Teaching machines to read and comprehend,'' in Proc. Adv. Neural Inf. Process. Syst. (NeurIPS), 2015, pp. 1693--1701.</w:t>
      </w:r>
    </w:p>
    <w:p>
      <w:pPr>
        <w:spacing w:before="20" w:after="60" w:line="240" w:lineRule="auto"/>
        <w:ind w:left="360" w:hanging="360"/>
        <w:jc w:val="both"/>
      </w:pPr>
      <w:r>
        <w:rPr>
          <w:rFonts w:ascii="Times New Roman" w:hAnsi="Times New Roman"/>
          <w:sz w:val="17"/>
        </w:rPr>
        <w:t>[21] W. Wang et al., ``MiniLM: Deep self-attention distillation for task-agnostic compression of pre-trained transformers,'' in Proc. Adv. Neural Inf. Process. Syst. (NeurIPS), 2020, pp. 5776--5788.</w:t>
      </w:r>
    </w:p>
    <w:p>
      <w:pPr>
        <w:spacing w:before="20" w:after="60" w:line="240" w:lineRule="auto"/>
        <w:ind w:left="360" w:hanging="360"/>
        <w:jc w:val="both"/>
      </w:pPr>
      <w:r>
        <w:rPr>
          <w:rFonts w:ascii="Times New Roman" w:hAnsi="Times New Roman"/>
          <w:sz w:val="17"/>
        </w:rPr>
        <w:t>[22] O. Honovich et al., ``TRUE: Re-evaluating factual consistency evaluation,'' Trans. Assoc. Comput. Linguistics (TACL), vol. 10, pp. 827--844, 2022.</w:t>
      </w:r>
    </w:p>
    <w:p>
      <w:pPr>
        <w:spacing w:before="20" w:after="60" w:line="240" w:lineRule="auto"/>
        <w:ind w:left="360" w:hanging="360"/>
        <w:jc w:val="both"/>
      </w:pPr>
      <w:r>
        <w:rPr>
          <w:rFonts w:ascii="Times New Roman" w:hAnsi="Times New Roman"/>
          <w:sz w:val="17"/>
        </w:rPr>
        <w:t>[23] Y. Zha et al., ``AlignScore: Evaluating factual consistency with a unified alignment function,'' in Proc. 61st Annu. Meeting Assoc. Comput. Linguistics (ACL), 2023, pp. 11328--11348.</w:t>
      </w:r>
    </w:p>
    <w:p>
      <w:pPr>
        <w:spacing w:before="20" w:after="60" w:line="240" w:lineRule="auto"/>
        <w:ind w:left="360" w:hanging="360"/>
        <w:jc w:val="both"/>
      </w:pPr>
      <w:r>
        <w:rPr>
          <w:rFonts w:ascii="Times New Roman" w:hAnsi="Times New Roman"/>
          <w:sz w:val="17"/>
        </w:rPr>
        <w:t>[24] X. Lyu et al., ``MiniCheck: Efficient fact-checking of LLMs on ground truth documents,'' in Proc. Conf. Empirical Methods in Natural Language Processing (EMNLP), 2024.</w:t>
      </w:r>
    </w:p>
    <w:p>
      <w:pPr>
        <w:spacing w:before="20" w:after="60" w:line="240" w:lineRule="auto"/>
        <w:ind w:left="360" w:hanging="360"/>
        <w:jc w:val="both"/>
      </w:pPr>
      <w:r>
        <w:rPr>
          <w:rFonts w:ascii="Times New Roman" w:hAnsi="Times New Roman"/>
          <w:sz w:val="17"/>
        </w:rPr>
        <w:t>[25] J. Wei et al., ``Long-form factuality in large language models,'' arXiv preprint arXiv:2403.18802,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