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62340EA" w14:textId="77777777">
      <w:pPr>
        <w:pStyle w:val="Title"/>
      </w:pPr>
      <w:r>
        <w:rPr>
          <w:rFonts w:ascii="Calibri" w:hAnsi="Calibri" w:eastAsia="Songti SC" w:cs="Calibri" w:asciiTheme="majorHAnsi" w:hAnsiTheme="majorHAnsi" w:csTheme="majorBidi"/>
          <w:b/>
          <w:bCs/>
          <w:spacing w:val="5"/>
          <w:kern w:val="28"/>
          <w:sz w:val="48"/>
          <w:szCs w:val="52"/>
          <w:color w:val="000000"/>
        </w:rPr>
        <w:t>新加坡日度电价预测研究报告</w:t>
      </w:r>
    </w:p>
    <w:p w14:paraId="017E12CD" w14:textId="77777777">
      <w:pPr>
        <w:pStyle w:val="Subtitle"/>
      </w:pPr>
      <w:r>
        <w:rPr>
          <w:rFonts w:ascii="Calibri" w:hAnsi="Calibri" w:eastAsia="Songti SC" w:cs="Calibri" w:asciiTheme="majorHAnsi" w:hAnsiTheme="majorHAnsi" w:csTheme="majorBidi"/>
          <w:i/>
          <w:iCs/>
          <w:spacing w:val="15"/>
          <w:sz w:val="24"/>
          <w:szCs w:val="24"/>
          <w:color w:val="000000"/>
        </w:rPr>
        <w:t>传统计量 机器学习与神经网络模型比较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研究窗口 2021年1月1日至2026年8月31日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1 引言与研究动机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本研究在共同滚动设计下比较六个模型与两个基准，预测新加坡统一能源价格（USEP）的日均值，并给出样本截止后的下一日预测与整月展望。USEP 是每半小时取电节点价格的加权均值 (EMC n.d.a)；日度目标为完整时段价格的算术平均。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电价预测可为零售商采购与对冲、大用户安排用电提供参考。天然气主导的发电结构使燃料成本与系统供需影响批发电价 (EMA n.d.a, n.d.c)；历史价格波动与零售商退出事件也体现了短期风险 (MTI 2022)。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电价的季节性与尖峰要求在共同数据和评价设计下比较模型 (Weron 2014)。既有 USEP 研究使用 XGBoost 预测短期价格，或考察滞后价格与应急备用对收益率的作用 (Sai et al. 2023; Cai, Li, and Wang 2025)。本研究关注日均价格水平：①哪些模型的一日预测误差较低，差异是否显著？②加入需求、辅助服务、燃料、温度与日历信息是否改善预测？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2 预测变量选择与依据</w:t>
      </w:r>
    </w:p>
    <w:p w14:paraId="379DA67B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价格历史提供持续性和周内模式；外部变量反映供需、成本与制度条件。连续外部变量使用目标日前一日及更早的观测，星期与公众假期使用目标日已知信息。各变量的依据见表1，具体构造见第3节。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预测变量的机制与预期方向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440"/>
        <w:gridCol w:w="3715"/>
        <w:gridCol w:w="1296"/>
        <w:gridCol w:w="2981"/>
      </w:tblGrid>
      <w:tr>
        <w:trPr>
          <w:cantSplit/>
          <w:tblHeader/>
          <w:jc w:val="center"/>
        </w:trPr>
        <w:tc>
          <w:tcPr>
            <w:tcW w:w="14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576F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变量组</w:t>
            </w:r>
          </w:p>
        </w:tc>
        <w:tc>
          <w:tcPr>
            <w:tcW w:w="371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1219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预测依据与机制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5BF0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预期方向</w:t>
            </w:r>
          </w:p>
        </w:tc>
        <w:tc>
          <w:tcPr>
            <w:tcW w:w="29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E02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依据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4384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价格历史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EDA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价格持续性与周内模式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8CA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D2B63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E84B7F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电力需求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A5067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需求增加可能提高边际出清成本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F5564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B95D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3F002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备用与调频价格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F68F9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辅助服务反映系统约束；应急备用在 USEP 收益率研究中较突出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EA9F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FBE92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Cai, Li, and Wang (2025)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A11E7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燃料价格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1A0B3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天然气合同与油价挂钩；BrentSGD 作为燃料成本代理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C932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6CB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EMA (n.d.b, n.d.c)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64971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温度与日历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C4AE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温度影响制冷需求；日历捕捉周内与假日模式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1FAA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BA7D4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Ang, Wang, and Ma (2017); 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4FB14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TPC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10CD3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触发时封顶；制度状态未反映实际触发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5DD54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8E84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EMA (2023)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注：方向是基于机制提出的假设，须在本研究中检验。TPCRegime 表示制度实施状态；实际触发状态是另一变量。资料来源：作者据所列来源整理。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温度可经制冷需求影响用电，但对日电价的预测作用仍须检验 (Ang, Wang, and Ma 2017)。TPC 仅在高且持续波动时触发，制度状态不等于实际触发状态 (EMA 2023)；是否保留该变量由验证期决定。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3 数据与研究方法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3.1 数据来源与构造</w:t>
      </w:r>
    </w:p>
    <w:p w14:paraId="4D87A589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共同研究窗口为2021年1月1日至2026年8月31日，共2,069个连续自然日，截止日期由温度数据决定。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原始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文件包含 8 月 31 日之后的记录，但本研究的模型拟合、评价及第 5 节的预测均只使用截至 8 月 31 日的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数据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数据来源与日度构造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75"/>
        <w:gridCol w:w="2648"/>
        <w:gridCol w:w="3027"/>
        <w:gridCol w:w="1608"/>
      </w:tblGrid>
      <w:tr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E410E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变量</w:t>
            </w:r>
          </w:p>
        </w:tc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68B91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来源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91A56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日度构造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28E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单位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25238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DailyUSEP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D03DD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EMC USEP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063F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683A9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A7C7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DemandMean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5908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EMC NEM需求预测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E5BCA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83C6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MW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86CC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PrimaryReserve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C2E9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EMC PRIRESA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095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B67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EF83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ContingencyReserve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C459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EMC CONRESA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6CE6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18AAE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B7717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Regulation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9E87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EMC MFP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919B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C698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4617C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BrentSGD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3C9AB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Brent美元现货与MAS汇率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8B2C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美元价乘SGD per USD汇率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BE602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SGD/桶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45086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TempSG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91F09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MSS五个固定站点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75E0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五站均温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FA4A3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℃</w:t>
            </w:r>
          </w:p>
        </w:tc>
      </w:tr>
    </w:tbl>
    <w:p w14:paraId="2C3021A6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资料来源：Energy Market Company (EMC n.d.b)、U.S. Energy Information Administration (EIA n.d.)、Monetary Authority of Singapore (MAS n.d.)、Meteorological Service Singapore (MSS n.d.)。</w:t>
      </w:r>
    </w:p>
    <w:p w14:paraId="67E65681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USEP、需求预测及辅助服务价格均取一天48个完整时段的算术平均，不截尾价格。需求采用 NEM Demand Forecast；主备用、应急备用与调频分别采用 PRIRESA、CONRESA 与 MFP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（原始导出文件以 RESERVE GROUP 字段区分 PRIRESA 与 CONRESA，调频价格的信息类型为 MFP）。代码检查每日恰为48个时段且无重复和缺失值，否则停止运行；研究窗口内全部日期均通过检查。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BrentUSD 与 USD_SGD 在完整自然日历上向前延续，再相乘得到 BrentSGD；MAS 的美元汇率单位为每美元对应的新元 (EIA n.d.; MAS n.d.)。窗口起始非交易日沿用此前最近可用记录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：2021年1月1—3日使用2020年12月31日的 Brent 价格（51.22美元/桶）与汇率（1.3221）。</w:t>
      </w:r>
    </w:p>
    <w:p w14:paraId="0A91759F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价格特征为前1、2、7日 USEP，以及前七日均值 MA7 和样本标准差 SD7。需求、主备用、应急备用、调频、BrentSGD 与 TempSG 均滞后一天。日历变量包括目标日星期、Weekend 和 PublicHoliday；线性模型以星期五为参照，使用五个星期虚拟变量与 Weekend。假日按 MOM 公布的日期及适用补休日编码，并加入2023年9月1日与2025年5月3日两个全国投票日 (MOM 2023, 2025, n.d.)。</w:t>
      </w:r>
    </w:p>
    <w:p w14:paraId="095A17AD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温度取 Changi、Jurong West、Ang Mo Kio、Admiralty 和 Sentosa Island 五个固定站点的均值。其他站缺测时，以相对 Changi 的温差进行 Ridge 重建；补值方法与误差见附录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A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3.2 描述性统计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验证与测试处于不同价格环境，尖峰会放大平方误差。表3与图1显示早期极端价格较多，测试期价格水平及波动高于验证期；具体均值与标准差在4.5节比较。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表3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各年日均 USEP 描述统计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135"/>
        <w:gridCol w:w="1135"/>
        <w:gridCol w:w="1797"/>
        <w:gridCol w:w="1797"/>
        <w:gridCol w:w="1797"/>
        <w:gridCol w:w="1797"/>
      </w:tblGrid>
      <w:tr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0E969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年份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2E18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天数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238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均值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B3060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标准差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FAD3A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中位数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96350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最大值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8825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EC81E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FFC9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196.33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C9205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264.08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B79F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106.44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2949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2,058.85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2797E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FC50C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337B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291.81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DFA8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133.29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3178C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F2E1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1,054.62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E48C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ABB6A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A871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247.52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6CA1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181.96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B053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186.32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460E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1,508.01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0727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50CB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674B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163.18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88A6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1E61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129.29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59A7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693.49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122B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E76F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C62C3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116.57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9BB9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42.41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953A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105.08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ABA19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567.83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28DB25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C120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C6C7C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197.10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AB81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81.21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4816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180.36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41CD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698.63</w:t>
            </w:r>
          </w:p>
        </w:tc>
      </w:tr>
    </w:tbl>
    <w:p w14:paraId="090F37F8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注：2026年为1—8月；价格单位为 SGD/MWh。资料来源：EMC (n.d.b)，作者计算。</w:t>
      </w:r>
    </w:p>
    <w:p w14:paraId="27E2DCC4" w14:textId="77777777">
      <w:pPr>
        <w:keepNext/>
        <w:spacing w:before="240" w:after="40" w:line="240" w:lineRule="auto"/>
        <w:jc w:val="center"/>
      </w:pPr>
      <w:r>
        <w:rPr>
          <w:color w:val="000000"/>
        </w:rPr>
        <w:lastRenderedPageBreak/>
        <w:drawing>
          <wp:inline distT="0" distB="0" distL="0" distR="0">
            <wp:extent cx="5581650" cy="25146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图1 全样本日均 USEP</w:t>
      </w:r>
    </w:p>
    <w:p w14:paraId="7418F88E" w14:textId="77777777">
      <w:pPr>
        <w:keepNext/>
        <w:spacing w:before="80" w:after="40" w:line="240" w:lineRule="auto"/>
        <w:jc w:val="center"/>
      </w:pPr>
      <w:r>
        <w:rPr>
          <w:color w:val="000000"/>
        </w:rPr>
        <w:lastRenderedPageBreak/>
        <w:drawing>
          <wp:inline distT="0" distB="0" distL="0" distR="0">
            <wp:extent cx="5581650" cy="34861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图2 初始训练期日价及 ACF 与 PACF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3.3 评价设计</w:t>
      </w:r>
    </w:p>
    <w:p w14:paraId="2F81A001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验证期用于选择参数，测试期冻结设置后评价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。推荐规则为验证期 RMSE 最低者；与最低值相差 1% 以内时选择更简单的结构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。所有方法每日生成一日超前预测，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代码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每七日扩展重估参数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，周内只用新观测更新输入及 ETS 与 ARIMA 的状态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。ETS 与 SARIMA 使用完整初始价格历史；显式特征模型与 LSTM 共用28天预热，初始训练目标为1,433天。按照滚动评价仅使用过去观测的原则，补值、标准化与早停均限于当前训练历史 (Hyndman and Athanasopoulos 2021, chap. 5)。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本研究是使用最终历史数据的回溯预测实验，没有完整模拟实时发布的信息集，第5节同理。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表4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样本划分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135"/>
        <w:gridCol w:w="4162"/>
        <w:gridCol w:w="1135"/>
        <w:gridCol w:w="3027"/>
      </w:tblGrid>
      <w:tr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9E87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样本</w:t>
            </w:r>
          </w:p>
        </w:tc>
        <w:tc>
          <w:tcPr>
            <w:tcW w:w="416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87D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日期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A779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天数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AA63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用途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30004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训练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86FE1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2021-01-01至2024-12-31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F1D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1,461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B0C9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拟合初始模型及预处理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62FE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验证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49694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2025-01-01至2025-12-31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5946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365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1387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选择参数和TPC规格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722DF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F184A1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2026-01-01至2026-08-31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9D02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243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32724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冻结设置后评价</w:t>
            </w:r>
          </w:p>
        </w:tc>
      </w:tr>
    </w:tbl>
    <w:p w14:paraId="194CB9D3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资料来源：作者设定。</w:t>
      </w:r>
    </w:p>
    <w:p w14:paraId="1AE423BA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TPCRegime 仅在2025年全年 RMSE 改善至少1%，且至少三个季度改善时保留。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验证结果中，动态回归加入该变量后 RMSE 改善1.8%，四个季度均改善，予以保留；TSLM 仅改善0.4%，XGBoost 与 LSTM 变差，均未保留。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3.4 平稳性检验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水平值不能视为围绕固定均值平稳波动，差分后的结果支持平稳。ADF 的原假设为存在单位根；KPSS 采用水平平稳规格 (Said and Dickey 1984; Kwiatkowski et al. 1992)，表5报告两项检验。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表5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训练期日均 USEP 平稳性检验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48"/>
        <w:gridCol w:w="1702"/>
        <w:gridCol w:w="1608"/>
        <w:gridCol w:w="1892"/>
        <w:gridCol w:w="1608"/>
      </w:tblGrid>
      <w:tr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F0F7F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序列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23DC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ADF 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17B4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ADF p 值</w:t>
            </w:r>
          </w:p>
        </w:tc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779D0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KPSS 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115A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KPSS p 值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3337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水平值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9C4C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−6.61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EE5D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F3C0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1.401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1114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6E88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对数值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249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−4.87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1597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A645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2.151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8A27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E638B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一阶差分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DBE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−16.68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DFA0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D5E1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0.006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FA0A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&gt;0.10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D7436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周季节差分（滞后7）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402E2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−12.10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8908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C46A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0.013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FF71CC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&gt;0.10</w:t>
            </w:r>
          </w:p>
        </w:tc>
      </w:tr>
    </w:tbl>
    <w:p w14:paraId="34C9FD73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注：ADF 含常数和趋势，滞后11阶；KPSS 为水平平稳检验，截断滞后7阶。p 值按临界值表插值；函数设定参见 tseries 手册 (Trapletti and Hornik 2026, 2–3, 22–23)。资料来源：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 xml:space="preserve">R 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输出；软件版本与复现说明见附录B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3.5 模型设定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模型在训练期选型、验证期比较后冻结设定，滚动期间只重估参数。ETS 与 SARIMA 分别由 ets()、auto.arima() 按 AICc 选型；动态回归采用 ARIMA 误差并由验证期决定 TPC；TSLM 用 OLS，两个基准分别延续前一日及上周同日价格 (Hyndman and Athanasopoulos 2021, chaps. 5, 7–10)。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表6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模型结构与候选设置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92"/>
        <w:gridCol w:w="3594"/>
        <w:gridCol w:w="3972"/>
      </w:tblGrid>
      <w:tr>
        <w:trPr>
          <w:cantSplit/>
          <w:tblHeader/>
          <w:jc w:val="center"/>
        </w:trPr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F2E2D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方法</w:t>
            </w:r>
          </w:p>
        </w:tc>
        <w:tc>
          <w:tcPr>
            <w:tcW w:w="359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59F0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结构</w:t>
            </w:r>
          </w:p>
        </w:tc>
        <w:tc>
          <w:tcPr>
            <w:tcW w:w="397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2ED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候选设置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35ED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Seasonal Naïve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7AA3F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上周同日电价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F2161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snaive()，单列基准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9727B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Naive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B7B5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前一日电价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8572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无参数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867D6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848C1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误差、趋势与周季节的指数平滑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FF1B6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ets() 按 AICc 自动选择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D4AD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C81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周周期季节ARIMA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A061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auto.arima() 按 AICc 自动选择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843AB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CD65A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历史特征和外部变量的OLS（tslm()）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C1BC8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按验证决定TPC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C333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4778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回归项加ARIMA误差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CA4D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auto.arima(xreg) 选择误差阶数；省略显式1 2 7日价格滞后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4B69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DDF4E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平方误差树提升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A372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12组候选 训练末28日早停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7F0B0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9354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单层LSTM和线性输出</w:t>
            </w:r>
          </w:p>
        </w:tc>
        <w:tc>
          <w:tcPr>
            <w:tcW w:w="39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5CC3A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12组候选 最终三个随机种子均值</w:t>
            </w:r>
          </w:p>
        </w:tc>
      </w:tr>
    </w:tbl>
    <w:p w14:paraId="269D2659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作者设定；选定设置为 R 重跑结果。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最终 ETS 为 ETS(M,A,M)，SARIMA 为 ARIMA(2,1,2)(0,0,2)[7]、不含常数；动态回归含常数与 TPCRegime，误差为 ARIMA(1,0,0)，省略显式价格滞后项。XGBoost 和 LSTM 各从完整网格中以固定种子随机抽取 12 组候选，按验证期 RMSE 选定，完整网格与候选见附录C。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XGBoost 选定树深4、学习率0.1、最小子节点权重5，行列抽样率均为1、λ=1；LSTM 选定序列长度28、隐藏单元16、dropout 0.1、学习率0.001。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3.6 评价指标与统计检验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模型比较以 RMSE 与 MAE 为主，补充指标及训练残差诊断见附录D。平均误差描述偏差，Ljung–Box 与 KPSS 检验误差依赖和平稳性，DM 检验比较平方及绝对损失 (Ljung and Box 1978; Kwiatkowski et al. 1992; Diebold and Mariano 1995)。各方法对 Naive 及前三名两两比较的验证、测试 p 值统一作 Holm 校正。Newey–West 检验检查损失差自相关下结论的稳健性，两项检验细节及完整结果见附录E。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4 模型评估与推荐</w:t>
      </w:r>
    </w:p>
    <w:p w14:paraId="13DCBA47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结果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由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提交的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 R 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代码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生成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，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复现细节见附录B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4.1 预测误差比较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SARIMA 的测试 RMSE 最低（50.21），LSTM（50.40）与 XGBoost（53.02）紧随其后，前三名很接近。XGBoost 的验证 RMSE 最低（35.23）；两期排序不同，不能只凭测试排名推荐模型。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表7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验证与测试期主要误差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48"/>
        <w:gridCol w:w="2270"/>
        <w:gridCol w:w="2270"/>
        <w:gridCol w:w="2270"/>
      </w:tblGrid>
      <w:tr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FC847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方法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364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验证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D64D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78D04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 MAE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DFAC4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E1A69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36.16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FE3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50.21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8B29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28.19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249C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6136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35.92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43B07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50.40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D568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30.09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5A940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DFC3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F1360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53.02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35E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31.24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4085A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540F9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41.62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5F47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56.97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105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37.40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9EEDC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3BD9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40.44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DE1D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58.71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AEAD1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34.88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2B20B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前一日价格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923F8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41.91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9C14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59.19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D6F8D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31.76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1CD7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446C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42.63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FC973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63.36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40E42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42.15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130AE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856D4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51.05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BF515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65.09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FF76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38.30</w:t>
            </w:r>
          </w:p>
        </w:tc>
      </w:tr>
    </w:tbl>
    <w:p w14:paraId="6B627A46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 SGD/MWh，按测试 RMSE 排序。资料来源：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R 输出。</w:t>
      </w:r>
    </w:p>
    <w:p w14:paraId="02DDC4F8" w14:textId="77777777">
      <w:pPr>
        <w:keepNext/>
        <w:spacing w:before="80" w:after="40" w:line="240" w:lineRule="auto"/>
        <w:jc w:val="center"/>
      </w:pPr>
      <w:r>
        <w:rPr>
          <w:color w:val="000000"/>
        </w:rPr>
        <w:lastRenderedPageBreak/>
        <w:drawing>
          <wp:inline distT="0" distB="0" distL="0" distR="0">
            <wp:extent cx="5124450" cy="48006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图3 测试期实际日价与测试 RMSE 最低的四个模型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4.2 残差诊断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测试期误差普遍存在自相关，多数模型平均低估，这与测试期价格上移一致。表8说明点预测排名不能替代误差诊断。训练期四个统计模型的残差也存在未解释的序列依赖，统计量见附录D。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表8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一步预测误差诊断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8"/>
        <w:gridCol w:w="1324"/>
        <w:gridCol w:w="1324"/>
        <w:gridCol w:w="1230"/>
        <w:gridCol w:w="1135"/>
        <w:gridCol w:w="1419"/>
        <w:gridCol w:w="1419"/>
      </w:tblGrid>
      <w:tr>
        <w:trPr>
          <w:cantSplit/>
          <w:tblHeader/>
          <w:jc w:val="center"/>
        </w:trPr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B6402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C905A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LB 验证 p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B4C9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LB 测试 p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E6CE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误差 KPSS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83FF7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KPSS p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ED30C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2025​均误差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744DD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2026​均误差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B200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CDA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D5E5A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956E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8683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F3B11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−0.03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DC3C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0.77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74B10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B83C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0237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2A5D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0461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CB0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−0.22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06CF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8.09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9EBEC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8DF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763F6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6C32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0.010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5EC7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E679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−1.20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86F6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−0.65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42E4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017E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0.038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F20F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44A58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1.356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8EE2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A03D4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−0.94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5C707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11.15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AC518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00F0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0.027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CF30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D446E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B20E2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6958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3.23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3383A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25.95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F3EFB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F75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6CB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9CF6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798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FAF7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−2.74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F0EE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11.1</w:t>
            </w: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839E7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240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0.062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4E543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27C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795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DF2F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−4.86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20D3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4.97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B6E8D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0CDCC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0.115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7DC789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5C8A24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1.179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2C69D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4F9A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−3.16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A5D6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9.33</w:t>
            </w:r>
          </w:p>
        </w:tc>
      </w:tr>
    </w:tbl>
    <w:p w14:paraId="5D321877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注：LB 为14阶检验；KPSS 使用2025—2026年608天误差。平均误差单位为 SGD/MWh，正值表示低估。资料来源：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R 输出。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4.3 预测差异的 DM 检验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前三名之间未检出稳定的显著差异（表9）。SARIMA 对 Naive 的优势在常规 DM 检验下显著，但考虑损失差自相关后不显著；TSLM 和动态回归在常规绝对损失检验下劣于 Naive，后者在 Newey–West 检验下也不再显著。综合判断应同时考虑自相关与多重比较，完整结果见附录E。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表9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测试期前三名的两两 DM 检验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00"/>
        <w:gridCol w:w="1839"/>
        <w:gridCol w:w="1840"/>
        <w:gridCol w:w="1839"/>
        <w:gridCol w:w="1840"/>
      </w:tblGrid>
      <w:tr>
        <w:trPr>
          <w:cantSplit/>
          <w:tblHeader/>
          <w:jc w:val="center"/>
        </w:trPr>
        <w:tc>
          <w:tcPr>
            <w:tcW w:w="21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比较</w:t>
            </w:r>
          </w:p>
        </w:tc>
        <w:tc>
          <w:tcPr>
            <w:tcW w:w="183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平方损失 DM（p）</w:t>
            </w:r>
          </w:p>
        </w:tc>
        <w:tc>
          <w:tcPr>
            <w:tcW w:w="18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平方损失 Newey–West p</w:t>
            </w:r>
          </w:p>
        </w:tc>
        <w:tc>
          <w:tcPr>
            <w:tcW w:w="183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绝对损失 DM（p）</w:t>
            </w:r>
          </w:p>
        </w:tc>
        <w:tc>
          <w:tcPr>
            <w:tcW w:w="18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绝对损失 Newey–West p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LSTM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-0.06 (0.949)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0.963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-1.24 (0.215)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0.351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XGBoost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-1.10 (0.274)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0.133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-2.11 (0.036)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0.065</w:t>
            </w:r>
          </w:p>
        </w:tc>
      </w:tr>
      <w:tr>
        <w:trPr>
          <w:cantSplit/>
          <w:jc w:val="center"/>
        </w:trPr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 对 XGBoost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-0.72 (0.472)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0.486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-0.64 (0.520)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0.508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注：负值表示前一模型损失较小；均为双侧、未校正 p 值，Holm 结果见附录E。资料来源：R 输出（DM_Top3、DM_HAC 表）。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4.4 外部变量的作用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需求只带来小幅数值改善，完整外部变量组没有改善测试表现（表10）。温度与日历同时加入，无法分辨各自贡献；不同模型之间的比较也不能单独识别外部变量增益。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表10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同一模型分步加入外部变量的测试误差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97"/>
        <w:gridCol w:w="1135"/>
        <w:gridCol w:w="1513"/>
        <w:gridCol w:w="1513"/>
        <w:gridCol w:w="1702"/>
        <w:gridCol w:w="1797"/>
      </w:tblGrid>
      <w:tr>
        <w:trPr>
          <w:cantSplit/>
          <w:tblHeader/>
          <w:jc w:val="center"/>
        </w:trPr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79BAE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模型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32C9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M步骤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D1A6F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RMSE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042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MAE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136F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边际改善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C94E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累计改善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1CE6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740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79798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7D71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27.56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30C7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41B77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3EA0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45E0A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C8B69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49.81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11C11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27.66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2910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6FCDB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709E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13E85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624E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55.53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81B78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33.12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6BD16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-11.5%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4D17D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-11.0%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4F11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71A8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5F78A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55.70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A3F5F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33.44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2086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8976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-11.3%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D7A0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9FB65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22DFE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56.97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37E0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37.40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68A5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66F7F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-13.9%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5AED7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487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2DC3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52.18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56B7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32.13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D1E45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3255D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D12C3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B2D7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C6A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51.84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B01C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31.07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4F58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0.6%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125F4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0.6%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B864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2A0D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F84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53.09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A643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31.84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2703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79B3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-1.8%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6C5DD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57CA0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EF5E9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0CA91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32.10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F8FD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2.0%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FE766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E95758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8B75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2D6AE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53.02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6BF16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31.24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88DBA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-1.9%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01F0D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-1.6%</w:t>
            </w:r>
          </w:p>
        </w:tc>
      </w:tr>
    </w:tbl>
    <w:p w14:paraId="17E3B69D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注：M0为价格历史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（动态回归另含验证期保留的 TPCRegime）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；M1加需求；M2加备用与调频；M3加燃料；M4加温度与日历。每步在验证期独立调参后冻结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；动态回归各步均含验证期保留的 TPCRegime；改善率按未四舍五入的 RMSE 计算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。资料来源：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R 输出。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看到辅助服务输入使测试误差变差后，另尝试删除、变换及选择备用与调频输入的四种处理。部分处理改善动态回归，但同时涉及重新调参，无法区分各因素作用；这些结果属于事后探索，不改变推荐，细节见附录F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4.5 模型推荐与解释范围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按3.3节规则推荐 XGBoost；测试期 SARIMA 的 RMSE 最低，但两者差异经稳健性与多重比较检验后不显著，不等于两者等效。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排序变化有两点解释：价格均值由验证期的 116.57 升至测试期的 197.10 SGD/MWh，标准差由 42.41 升至 81.21，两期环境不同；前三名误差接近，排名本身不稳定。机器学习模型按验证期选择候选、动态回归按验证期决定 TPC，仍有选择偏差。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5 实际预测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以下是以样本截止日 2026-08-31 为起点的预测。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5.1 数据截止后的下一日预测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以 XGBoost 为主：点预测 334.13，80% 区间 286.07—382.19，95% 区间 212.12—456.15 SGD/MWh。测试期实际覆盖率分别为 66.7% 和 88.1%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，低于名义水平，区间可能偏窄。其余模型作为对照，单日结果不能用来比较模型优劣。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以 2026 年 8 月 31 日为截止日，使用最终历史记录及 3.5 节冻结设置，生成 9 月 1 日的一日超前预测。最终记录有发布延迟，本例未复现实时信息集。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表11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2026年9月1日一日超前预测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58"/>
        <w:gridCol w:w="1300"/>
        <w:gridCol w:w="2900"/>
        <w:gridCol w:w="2900"/>
      </w:tblGrid>
      <w:tr>
        <w:trPr>
          <w:cantSplit/>
          <w:tblHeader/>
          <w:jc w:val="center"/>
        </w:trPr>
        <w:tc>
          <w:tcPr>
            <w:tcW w:w="23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方法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点预测</w:t>
            </w:r>
          </w:p>
        </w:tc>
        <w:tc>
          <w:tcPr>
            <w:tcW w:w="29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80% 区间</w:t>
            </w:r>
          </w:p>
        </w:tc>
        <w:tc>
          <w:tcPr>
            <w:tcW w:w="29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95% 区间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374.85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326.87—422.84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236.46—513.25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352.84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284.70—420.97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194.85—510.82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XGBoost（推荐）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334.13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286.07—382.19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212.12—456.15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329.82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266.66—392.98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187.34—472.29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292.49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243.56—341.43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182.95—402.04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289.99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231.33—348.65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143.13—436.86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286.81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218.47—355.14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119.87—453.74</w:t>
            </w:r>
          </w:p>
        </w:tc>
      </w:tr>
      <w:tr>
        <w:trPr>
          <w:cantSplit/>
          <w:jc w:val="center"/>
        </w:trPr>
        <w:tc>
          <w:tcPr>
            <w:tcW w:w="23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Naive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270.61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222.14—319.08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118.36—422.85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注：单位为 SGD/MWh；经验区间使用截至样本末日最近已实现的一步绝对误差，对称展开，构造规则见附录G。资料来源：R 输出（NextDay 表）。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sz w:val="24"/>
          <w:szCs w:val="26"/>
          <w:color w:val="000000"/>
        </w:rPr>
        <w:t>5.2 一个月预测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月度结果用于展示可能的价格路径与不确定性。</w:t>
      </w:r>
    </w:p>
    <w:p w14:paraId="4FAB15C6" w14:textId="77777777">
      <w:pPr>
        <w:pStyle w:val="Heading3"/>
        <w:jc w:val="both"/>
      </w:pPr>
      <w:r>
        <w:rPr>
          <w:color w:val="000000"/>
        </w:rPr>
        <w:t>5.2.1 方法与回测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SARIMA 在验证年优于简单基准，但测试年不优于简单基准，且存在平均低估（表12）。它是依据前一年回测事后选取的示例；不用 XGBoost，是因为多步预测需要先假设未来外部变量。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SARIMA 沿用冻结设定，以完整研究窗口重估后预测整月，Naive 延续截止日价格。滚动起点每7天一个，验证年48条路径、测试年31条，每条预测30天 (Hyndman and Athanasopoulos 2021, chap. 5)；只解读步长段，不解读同星期几上的单一步长。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表12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不同步长段与30天均价的回测 RMSE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458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  <w:tblHeader/>
          <w:jc w:val="center"/>
        </w:trPr>
        <w:tc>
          <w:tcPr>
            <w:tcW w:w="14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步长段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2025 Naive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2025 季节朴素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2025 SARIMA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2025 ETS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2026 Naive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2026 季节朴素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2026 SARIMA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2026 ETS</w:t>
            </w:r>
          </w:p>
        </w:tc>
      </w:tr>
      <w:tr>
        <w:trPr>
          <w:cantSplit/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1–7 天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48.9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52.8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38.1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42.9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35.9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43.8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35.6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38.8</w:t>
            </w:r>
          </w:p>
        </w:tc>
      </w:tr>
      <w:tr>
        <w:trPr>
          <w:cantSplit/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8–14 天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54.8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57.1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43.1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49.3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44.1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46.5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44.4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46.4</w:t>
            </w:r>
          </w:p>
        </w:tc>
      </w:tr>
      <w:tr>
        <w:trPr>
          <w:cantSplit/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15–30 天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65.6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64.7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47.8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59.9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59.5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63.4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66.8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62.4</w:t>
            </w:r>
          </w:p>
        </w:tc>
      </w:tr>
      <w:tr>
        <w:trPr>
          <w:cantSplit/>
          <w:jc w:val="center"/>
        </w:trPr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30 天均价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43.6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29.1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20.2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35.5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31.2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27.3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37.4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33.0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注：单位为 SGD/MWh；均价误差按每条路径的 30 天实际均价减预测均价计算。资料来源：R 输出（Horizon_Backtest 表）。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2026 年30天均价 RMSE 以季节朴素最低（27.3 SGD/MWh）；SARIMA 在后半月的误差和低估更明显，简单基准有竞争力。</w:t>
      </w:r>
    </w:p>
    <w:p w14:paraId="4FAB15C6" w14:textId="77777777">
      <w:pPr>
        <w:pStyle w:val="Heading3"/>
        <w:jc w:val="both"/>
      </w:pPr>
      <w:r>
        <w:rPr>
          <w:color w:val="000000"/>
        </w:rPr>
        <w:t>5.2.2 预测结果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SARIMA 的月均价预测为 291.7 SGD/MWh，80%区间为 242.6—340.8，95%区间为 194.3—389.2；Naive 月均价 270.6 作为对照。两者差距小于区间半径，回测显示模型存在平均低估。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表13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9月代表日期与月均价预测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58"/>
        <w:gridCol w:w="1300"/>
        <w:gridCol w:w="2800"/>
        <w:gridCol w:w="2800"/>
      </w:tblGrid>
      <w:tr>
        <w:trPr>
          <w:cantSplit/>
          <w:tblHeader/>
          <w:jc w:val="center"/>
        </w:trPr>
        <w:tc>
          <w:tcPr>
            <w:tcW w:w="25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对象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点预测</w:t>
            </w:r>
          </w:p>
        </w:tc>
        <w:tc>
          <w:tcPr>
            <w:tcW w:w="28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经验 80% 区间</w:t>
            </w:r>
          </w:p>
        </w:tc>
        <w:tc>
          <w:tcPr>
            <w:tcW w:w="28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经验 95% 区间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第 1 天（SARIMA）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292.5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258.8—326.2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217.9—367.1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第 7 天（SARIMA）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307.4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273.7—341.0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232.8—382.0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第 14 天（SARIMA）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238.4—334.2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197.1—375.5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第 30 天（SARIMA）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219.4—351.3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150.5—420.1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月均价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291.7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242.6—340.8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194.3—389.2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Naive 月均价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270.6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235.3—305.9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177.9—363.3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注：单位为 SGD/MWh；预测起点为 2026 年 8 月 31 日，月均价对应 9 月全部自然日；经验区间仅用 2026 年回测误差校准。资料来源：R 输出（Sept_Path、Sept_Mean 表）。</w:t>
      </w:r>
    </w:p>
    <w:p w14:paraId="02DDC4F8" w14:textId="77777777">
      <w:pPr>
        <w:keepNext/>
        <w:spacing w:before="80" w:after="40" w:line="240" w:lineRule="auto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124450" cy="2562225"/>
            <wp:docPr id="100003" name="Picture 1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ptember_pat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622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图4 2026年8月实际日价与9月 SARIMA 预测路径</w:t>
      </w:r>
    </w:p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注：单位为 SGD/MWh；预测起点为 2026 年 8 月 31 日，阴影为 80%/95% 经验区间，同时列示 Naive 参照线与 9 月 1 日 XGBoost 点预测。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区间半径按步长段（1–7、8–14、15–30 天）取值，因此在第 8 天和第 15 天跳宽。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资料来源：EMC (n.d.b)，R 输出。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月度区间按步长段误差校准，与一步区间使用的误差样本不同，详见附录G；单看首日以表11为准。九月逐日预测见附录H。</w:t>
      </w:r>
    </w:p>
    <w:p w14:paraId="4FAB15C6" w14:textId="77777777">
      <w:pPr>
        <w:pStyle w:val="Heading3"/>
        <w:jc w:val="both"/>
      </w:pPr>
      <w:r>
        <w:rPr>
          <w:color w:val="000000"/>
        </w:rPr>
        <w:t>5.2.3 不确定性与局限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用 2025 年误差构造的区间在 2026 年覆盖不足，较长步长尤甚，最终区间需谨慎解读。最终区间使用测试年的回测误差，对称展开而未修正偏差，也未再作样本外检验。8月日价波动更大，全年前八个月整体误差构造的区间可能偏窄；历史误差无法预见价格水平突变，回测样本及重叠路径也限制了推断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6 结论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按验证期规则选择 XGBoost；测试期 SARIMA 的 RMSE 最低。现有证据不足以认定任一领先模型稳定胜出。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在本研究的设定和测试窗口下，完整外部变量组没有改善预测。需求仅有小幅数值改善，辅助服务输入的探索性调整不能分别识别各因素作用。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XGBoost 对9月1日的预测为 334.13 SGD/MWh（80%区间 286.07—382.19）。九月月度展望不确定性较大，简单基准有竞争力。</w:t>
      </w:r>
    </w:p>
    <w:p w14:paraId="10A6314C" w14:textId="77777777">
      <w:pPr>
        <w:pStyle w:val="Heading1"/>
        <w:pageBreakBefore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参考文献</w:t>
      </w:r>
    </w:p>
    <w:p w14:paraId="52BDE92E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Ang, B. W., Wang, H., &amp; Ma, X. (2017). Climatic Influence on Electricity Consumption: The Case of Singapore and Hong Kong.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Energy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127, 534-543.</w:t>
      </w:r>
    </w:p>
    <w:p w14:paraId="5AA768DE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Athanasopoulos, G., &amp; Kuroptev, K. (n.d.). Diebold-Mariano Test for Predictive Accuracy. forecast Package Documentation. Available at </w:t>
      </w:r>
      <w:hyperlink r:id="rId12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https://pkg.robjhyndman.com/forecast/reference/dm.test.html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636F00B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Cai, J., Li, W., &amp; Wang, W. (2025). Electricity Market Predictability: Virtues of Machine Learning and Links to the Macroeconomy. arXiv Working Paper 2507.07477. Available at </w:t>
      </w:r>
      <w:hyperlink r:id="rId13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https://arxiv.org/abs/2507.07477v1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347B2DD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Chen, T., &amp; Guestrin, C. (2016). XGBoost: A Scalable Tree Boosting System. arXiv Working Paper 1603.02754. Available at </w:t>
      </w:r>
      <w:hyperlink r:id="rId14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https://arxiv.org/abs/1603.02754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749993BF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Diebold, F. X., &amp; Mariano, R. S. (1995). Comparing Predictive Accuracy.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Journal of Business &amp; Economic Statistics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13(3), 253-263.</w:t>
      </w:r>
    </w:p>
    <w:p w14:paraId="42C60B03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Authority (EMA). (2023). Introduction of the Temporary Price Cap. Available at </w:t>
      </w:r>
      <w:hyperlink r:id="rId16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https://www.ema.gov.sg/news-events/news/media-releases/2023/introduction-of-the-temporary-price-cap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42A138E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Authority (EMA). (n.d.a). Singapore Energy Statistics: Chapter 2, Energy Transformation. Available at </w:t>
      </w:r>
      <w:hyperlink r:id="rId17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https://www.ema.gov.sg/resources/singapore-energy-statistics/chapter2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3E109BF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Authority (EMA). (n.d.b). Singapore Energy Statistics: Chapter 5, Energy Prices. Available at </w:t>
      </w:r>
      <w:hyperlink r:id="rId18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https://www.ema.gov.sg/resources/singapore-energy-statistics/chapter5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1E3CD084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Authority (EMA). (n.d.c). What Is Affecting Energy Prices in Singapore? Available at </w:t>
      </w:r>
      <w:hyperlink r:id="rId19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https://www.ema.gov.sg/consumer-information/energy-prices-in-singapore-what-you-need-to-know/what-is-affecting-energy-prices-in-singapore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1E1813C0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Company (EMC). (n.d.a). Guide to Prices. Available at </w:t>
      </w:r>
      <w:hyperlink r:id="rId20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https://www.nems.emcsg.com/Guide-To-Prices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1CBA5E48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Energy Market Company (EMC). (n.d.b). NEMS Prices. Available at </w:t>
      </w:r>
      <w:hyperlink r:id="rId21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https://www.nems.emcsg.com/nems-prices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34BFA61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Harvey, D., Leybourne, S., &amp; Newbold, P. (1997). Testing the Equality of Prediction Mean Squared Errors.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International Journal of Forecasting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13(2), 281-291.</w:t>
      </w:r>
    </w:p>
    <w:p w14:paraId="37542B4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Hochreiter, S., &amp; Schmidhuber, J. (1997). Long Short-Term Memory.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Neural Computation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9(8), 1735-1780.</w:t>
      </w:r>
    </w:p>
    <w:p w14:paraId="330C477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Hyndman, R. J., &amp; Athanasopoulos, G. (2021). Forecasting: Principles and Practice (3rd ed.).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OTexts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. Available at </w:t>
      </w:r>
      <w:hyperlink r:id="rId24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https://otexts.com/fpp3/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791E5474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Kwiatkowski, D., Phillips, P. C. B., Schmidt, P., &amp; Shin, Y. (1992). Testing the Null Hypothesis of Stationarity against the Alternative of a Unit Root: How Sure Are We That Economic Time Series Have a Unit Root?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Journal of Econometrics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54(1-3), 159-178.</w:t>
      </w:r>
    </w:p>
    <w:p w14:paraId="1B9AD723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Ljung, G. M., &amp; Box, G. E. P. (1978). On a Measure of Lack of Fit in Time Series Models.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Biometrika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65(2), 297-303.</w:t>
      </w:r>
    </w:p>
    <w:p w14:paraId="1E3C09E5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Meteorological Service Singapore (MSS). (n.d.). Historical Daily Records. Available at </w:t>
      </w:r>
      <w:hyperlink r:id="rId27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https://www.weather.gov.sg/climate-historical-daily/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0054682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Ministry of Manpower (MOM). (2023). Public Holiday on Polling Day: 1 September 2023. Available at </w:t>
      </w:r>
      <w:hyperlink r:id="rId28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https://www.mom.gov.sg/newsroom/press-releases/2023/0822-public-holiday-on-polling-day---1-sep-2023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412CE228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Ministry of Manpower (MOM). (2025). Public Holiday on Polling Day: 3 May 2025. Available at </w:t>
      </w:r>
      <w:hyperlink r:id="rId29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https://www.mom.gov.sg/newsroom/press-releases/2025/0415-public-holiday-on-polling-day_3-may-2025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71ECFCA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Ministry of Manpower (MOM). (n.d.). Public Holidays. Available at </w:t>
      </w:r>
      <w:hyperlink r:id="rId30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https://www.mom.gov.sg/employment-practices/public-holidays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2BA4D4D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Ministry of Trade and Industry (MTI). (2022). Oral Reply to PQs on Temporary Electricity Contracting Support Scheme (TRECS). Available at </w:t>
      </w:r>
      <w:hyperlink r:id="rId31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https://www.meti.gov.sg/newsroom/oral-reply-to-pqs-on-temporary-electricity-contracting-support-scheme--trecs-/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6D868EBA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Monetary Authority of Singapore (MAS). (n.d.). Exchange Rates. Available at </w:t>
      </w:r>
      <w:hyperlink r:id="rId32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https://eservices.mas.gov.sg/Statistics/msb/ExchangeRates.aspx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5E1E661C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Sai, W., Pan, Z., Liu, S., Jiao, Z., Zhong, Z., Miao, B., &amp; Chan, S. H. (2023). Event-Driven Forecasting of Wholesale Electricity Price and Frequency Regulation Price Using Machine Learning Algorithms.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Applied Energy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352, 121989.</w:t>
      </w:r>
    </w:p>
    <w:p w14:paraId="4F4039A1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Said, S. E., &amp; Dickey, D. A. (1984). Testing for Unit Roots in Autoregressive-Moving Average Models of Unknown Order.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Biometrika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71(3), 599-607.</w:t>
      </w:r>
    </w:p>
    <w:p w14:paraId="6DEFC02F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Trapletti, A., &amp; Hornik, K. (2026). tseries: Time Series Analysis and Computational Finance. Available at </w:t>
      </w:r>
      <w:hyperlink r:id="rId35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https://cran.r-project.org/web/packages/tseries/tseries.pdf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21ACBE17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U.S. Energy Information Administration (EIA). (n.d.). Europe Brent Spot Price FOB (Dollars per Barrel). Available at </w:t>
      </w:r>
      <w:hyperlink r:id="rId36">
        <w:r>
          <w:rPr>
            <w:rStyle w:val="Hyperlink"/>
            <w:rFonts w:ascii="Times New Roman" w:hAnsi="Times New Roman" w:eastAsia="Songti SC" w:cs="Times New Roman" w:csTheme="minorBidi"/>
            <w:sz w:val="24"/>
            <w:szCs w:val="22"/>
            <w:u w:val="single"/>
            <w:color w:val="000000"/>
          </w:rPr>
          <w:t>https://www.eia.gov/dnav/pet/hist/RBRTED.htm</w:t>
        </w:r>
      </w:hyperlink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.</w:t>
      </w:r>
    </w:p>
    <w:p w14:paraId="7B054B4C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Weron, R. (2014). Electricity Price Forecasting: A Review of the State-of-the-Art with a Look into the Future. </w:t>
      </w:r>
      <w:r>
        <w:rPr>
          <w:rFonts w:ascii="Times New Roman" w:hAnsi="Times New Roman" w:eastAsia="Songti SC" w:cs="Times New Roman" w:csTheme="minorBidi"/>
          <w:i/>
          <w:iCs/>
          <w:sz w:val="24"/>
          <w:szCs w:val="22"/>
          <w:color w:val="000000"/>
        </w:rPr>
        <w:t>International Journal of Forecasting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 30(4), 1030-1081.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附录A 温度站点补值</w:t>
      </w:r>
    </w:p>
    <w:p w14:paraId="552DAB5A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五站原始均值有174天因至少一站缺测而无法计算。Changi 全期完整，其余四站分别缺测30、31、76和50天，最长连续缺口36天。缺值在站点层面重建后再取五站均值，保留实测值。</w:t>
      </w:r>
    </w:p>
    <w:p w14:paraId="54137AC7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各站 Ridge 模型预测相对 Changi 的温差，输入为其他站温差与月份正余弦项；缺失输入由当前训练历史中位数填补。正则化仅在2021—2024年三个时间段内，以7天和36天遮蔽验证选择；验证及测试每周扩展拟合时仅使用此前数据。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表A1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温度站点重建误差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37"/>
        <w:gridCol w:w="1230"/>
        <w:gridCol w:w="1797"/>
        <w:gridCol w:w="1797"/>
        <w:gridCol w:w="1797"/>
      </w:tblGrid>
      <w:tr>
        <w:trPr>
          <w:cantSplit/>
          <w:tblHeader/>
          <w:jc w:val="center"/>
        </w:trPr>
        <w:tc>
          <w:tcPr>
            <w:tcW w:w="283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59EEC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站点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A7D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λ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1C46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遮蔽次数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C4AC4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MAE ℃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25D7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RMSE ℃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7DFD4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Admiralty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B63B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DE31A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3FEB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019B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0.20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B6CAF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Ang_Mo_Kio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437D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E5C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B041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C8BFB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0.21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5B10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Jurong_West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979DA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892AF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41871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85CE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0.46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D93CC5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Sentosa_Island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D18B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AB46A7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C26AC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0.38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65225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0.49</w:t>
            </w:r>
          </w:p>
        </w:tc>
      </w:tr>
    </w:tbl>
    <w:p w14:paraId="61D67095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注：遮蔽次数为评价次数，重叠日期可重复参与评价。资料来源：Meteorological Service Singapore (MSS n.d.)，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R 计算结果。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附录B 复现说明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当前默认模式读取已保存的一日预测，重算误差指标、ADF/KPSS、Ljung–Box、DM及Newey–West检验、图表，并重新估计九月路径及整月回测；候选组合按固定代码生成并导出。默认模式不重新训练所有一日模型。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季节朴素、ETS、SARIMA、TSLM与动态回归的缓存来自提交代码的此前运行；XGBoost缓存已用提交代码重跑核实，结果一致。LSTM沿用此前相同模型代码的运行结果，未在当前环境重训；TensorFlow版本与硬件差异可能带来小幅变化。辅助服务价格探索在默认模式下也读取缓存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run_models: false 为默认模式，run_models: true 重新训练模型并覆盖缓存。表5使用 tseries::adf.test 与 kpss.test；报告引用的统计检验数值来自R输出，原稿Python复算值已替换。最新渲染的 sessionInfo() 为 R 4.6.1、forecast 9.0.2、tseries 0.10-63。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本精简版仅重组既有文字和结果，未重新渲染代码或新增分析；原报告和输出保持不变。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附录C 调参网格与候选</w:t>
      </w:r>
    </w:p>
    <w:p w14:paraId="070DD0D3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XGBoost 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完整调参网格为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树深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 {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2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,3,4}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、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学习率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 xml:space="preserve"> {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0.03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,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0.1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}、最小子节点权重 {1,5}、行抽样 {0.8,1}、列抽样 {0.8,1}、λ {1,5}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，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共 96 种组合；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最大600轮，以当前训练末28天早停。选定树深4、学习率0.1、最小子节点权重5，行列抽样率均为1，λ=1。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轮数在每次重估时由早停确定。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LSTM 完整调参网格为序列长度 {7,14,28}、隐藏单元 {16,32}、dropout {0.1,0.2}、学习率 {0.0005,0.001}，共 24 种组合；batch size 为32，最多100 epoch，早停耐心10。选定长度28、隐藏单元16、dropout 0.1、学习率0.001；取随机种子2026、2027、2028的预测均值。两个网格均以固定种子随机抽取 12 组；代码先设种子 2026 抽取 XGBoost，再沿同一随机数序列抽取 LSTM，实际抽中组合及顺序见下表（Candidates 表）。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固定种子为 2026；XGBoost 从 96 种组合中抽取 12 组，LSTM 从 24 种组合中抽取 12 组。两次抽样依次执行且不重置种子，下表按抽样顺序列出；空缺参数不适用于该模型。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表C1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XGBoost 实际抽中的候选组合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658"/>
        <w:gridCol w:w="1100"/>
        <w:gridCol w:w="1300"/>
        <w:gridCol w:w="2400"/>
        <w:gridCol w:w="1400"/>
        <w:gridCol w:w="1400"/>
        <w:gridCol w:w="1200"/>
      </w:tblGrid>
      <w:tr>
        <w:trPr>
          <w:cantSplit/>
          <w:tblHeader/>
          <w:jc w:val="center"/>
        </w:trPr>
        <w:tc>
          <w:tcPr>
            <w:tcW w:w="6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顺序</w:t>
            </w:r>
          </w:p>
        </w:tc>
        <w:tc>
          <w:tcPr>
            <w:tcW w:w="11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树深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学习率</w:t>
            </w:r>
          </w:p>
        </w:tc>
        <w:tc>
          <w:tcPr>
            <w:tcW w:w="24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最小子节点权重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行抽样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列抽样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λ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6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5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注：按代码实际抽样顺序列示。资料来源：R 输出（Candidates 表）。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表C2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LSTM 实际抽中的候选组合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91"/>
        <w:gridCol w:w="1891"/>
        <w:gridCol w:w="1891"/>
        <w:gridCol w:w="1891"/>
        <w:gridCol w:w="1891"/>
      </w:tblGrid>
      <w:tr>
        <w:trPr>
          <w:cantSplit/>
          <w:tblHeader/>
          <w:jc w:val="center"/>
        </w:trPr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顺序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序列长度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隐藏单元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dropout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学习率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32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0.0005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注：按代码实际抽样顺序列示；候选组合在验证期比较后冻结。资料来源：R 输出（Candidates 表）。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附录D 补充指标与训练期残差</w:t>
      </w:r>
    </w:p>
    <w:p w14:paraId="339A5C31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主指标为 RMSE 与 MAE，辅以 MASE、sMAPE 及相对两个基准的 MAE 比值。RMSE 更重视大误差，MAE 直接衡量平均金额误差 (Hyndman and Athanasopoulos 2021, chap. 5)。MASE 分母固定为初始训练期季节朴素 MAE，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经 R 复核为100.29 SGD/MWh</w:t>
      </w: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，各模型及子期使用相同分母。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表D1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测试期补充指标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70"/>
        <w:gridCol w:w="1324"/>
        <w:gridCol w:w="1513"/>
        <w:gridCol w:w="2270"/>
        <w:gridCol w:w="2081"/>
      </w:tblGrid>
      <w:tr>
        <w:trPr>
          <w:cantSplit/>
          <w:tblHeader/>
          <w:jc w:val="center"/>
        </w:trPr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6F475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0F37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MASE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885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sMAPE %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8A3C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MAE / 季节朴素</w:t>
            </w:r>
          </w:p>
        </w:tc>
        <w:tc>
          <w:tcPr>
            <w:tcW w:w="20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4F1E7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MAE / Naive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831A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B5B6E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575B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12.80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2764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0.74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B0587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0.89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43B9A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66D5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0CD65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14.15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731C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0.79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8E64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0.95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FA4B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1E76F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6B8F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B2063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0.82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A6225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0.98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DBCF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57AD7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A5B41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19.78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FAFA1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0.98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58805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1.18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CA48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9FD2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0.35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67494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15.11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23E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0.91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C04B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1.10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9968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90AD0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4AEC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13.83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516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0.83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1000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71E9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FCF63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EB61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23.93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D1C0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1.10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C7FEF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1.33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BCFBD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D7E25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0.38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D2E47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17.26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535A9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83C0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1.21</w:t>
            </w:r>
          </w:p>
        </w:tc>
      </w:tr>
    </w:tbl>
    <w:p w14:paraId="76205A3D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注：MAE 比值小于1表示优于对应基准。资料来源：</w:t>
      </w: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R 输出。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四个统计模型的训练期残差检验均显示未解释的序列依赖；第5节使用经验误差区间，不依赖模型残差的分布假设。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表D2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训练期样本内残差检验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00"/>
        <w:gridCol w:w="5058"/>
        <w:gridCol w:w="1450"/>
        <w:gridCol w:w="1450"/>
      </w:tblGrid>
      <w:tr>
        <w:trPr>
          <w:cantSplit/>
          <w:tblHeader/>
          <w:jc w:val="center"/>
        </w:trPr>
        <w:tc>
          <w:tcPr>
            <w:tcW w:w="15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模型</w:t>
            </w:r>
          </w:p>
        </w:tc>
        <w:tc>
          <w:tcPr>
            <w:tcW w:w="50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检验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统计量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p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</w:t>
            </w: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Ljung-Box test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75.31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</w:t>
            </w: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Ljung-Box test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28.61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</w:t>
            </w:r>
          </w:p>
        </w:tc>
        <w:tc>
          <w:tcPr>
            <w:tcW w:w="50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Breusch-Godfrey test for serial correlation of order up to 22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49.09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50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Ljung-Box test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25.90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0.018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注：ETS、SARIMA、动态回归采用14阶 Ljung–Box；TSLM采用22阶 Breusch–Godfrey。资料来源：R 输出（Residuals_InSample 表）。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附录E DM 检验完整结果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常规 DM 检验比较两种预测误差序列，使用 forecast::dm.test 的 Harvey–Leybourne–Newbold 小样本修正，一日超前 h=1；power=2 比较平方损失，power=1 比较绝对损失 (Diebold and Mariano 1995; Harvey, Leybourne, and Newbold 1997; Athanasopoulos and Kuroptev n.d.)。负统计量表示前一模型损失较小。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各方法对Naive及前三名两两比较在验证、测试两期共40个p值统一作Holm校正。价格历史模型与外部变量回归模型的比较未作多重比较校正，属于补充比较；下表以“—”区分不在该校正范围内的项目。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表E1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常规 DM 与 Holm 校正完整结果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58"/>
        <w:gridCol w:w="650"/>
        <w:gridCol w:w="1850"/>
        <w:gridCol w:w="1850"/>
        <w:gridCol w:w="1275"/>
        <w:gridCol w:w="1275"/>
      </w:tblGrid>
      <w:tr>
        <w:trPr>
          <w:cantSplit/>
          <w:tblHeader/>
          <w:jc w:val="center"/>
        </w:trPr>
        <w:tc>
          <w:tcPr>
            <w:tcW w:w="25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比较</w:t>
            </w:r>
          </w:p>
        </w:tc>
        <w:tc>
          <w:tcPr>
            <w:tcW w:w="6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损失</w:t>
            </w:r>
          </w:p>
        </w:tc>
        <w:tc>
          <w:tcPr>
            <w:tcW w:w="18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验证 DM（p）</w:t>
            </w:r>
          </w:p>
        </w:tc>
        <w:tc>
          <w:tcPr>
            <w:tcW w:w="18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 DM（p）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验证 Holm p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 Holm p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1.28 (0.203)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0.70 (0.486)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季节朴素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2.97 (0.003)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2.00 (0.046)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0.114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-0.70 (0.485)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-0.11 (0.916)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2.61 (0.009)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1.53 (0.127)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0.327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-1.50 (0.134)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-2.08 (0.039)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-1.60 (0.110)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-2.29 (0.023)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0.746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0.20 (0.838)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0.88 (0.381)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TSLM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5.32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4.06 (&lt;0.001)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0.003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-0.09 (0.932)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-0.49 (0.624)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6.28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2.45 (0.015)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0.507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-1.75 (0.081)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-1.66 (0.098)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-0.16 (0.872)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-0.24 (0.810)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-1.42 (0.156)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-1.47 (0.143)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 对 Naive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0.90 (0.370)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-0.63 (0.527)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LSTM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0.15 (0.880)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-0.06 (0.949)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LSTM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-3.15 (0.002)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-1.24 (0.215)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0.066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0.49 (0.627)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-1.10 (0.274)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-2.02 (0.044)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-2.11 (0.036)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 对 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0.61 (0.543)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-0.72 (0.472)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LSTM 对 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1.67 (0.096)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-0.64 (0.520)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TSLM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-4.15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-4.70 (&lt;0.001)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TSLM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-7.82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-7.39 (&lt;0.001)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-2.99 (0.003)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-2.93 (0.004)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对 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-8.92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-5.45 (&lt;0.001)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TSLM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-1.13 (0.261)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-1.22 (0.223)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TSLM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-4.36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-3.12 (0.002)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-0.62 (0.536)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0.47 (0.638)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  <w:tr>
        <w:trPr>
          <w:cantSplit/>
          <w:jc w:val="center"/>
        </w:trPr>
        <w:tc>
          <w:tcPr>
            <w:tcW w:w="25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ETS 对 动态回归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-5.43 (&lt;0.001)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-1.15 (0.252)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—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注：括号内为双侧、未校正p值；显著性以未四舍五入值判断。资料来源：R 输出（DM_vs_Naive、DM_Top3、DM_External、DM_Holm 表）。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对测试期每组模型比较分别构造平方损失与绝对损失之差 dₜ＝|eₐ,ₜ|ᵖ−|eᵦ,ₜ|ᵖ，负值表示前一个模型损失较小。先以14阶 Ljung–Box 检验损失差自相关，再用 Newey–West 长期方差计算 DM；这里检验的是损失差，而非单个模型误差。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以去均值损失差计算样本自协方差 γ̂ₖ（分母为 n），长期方差 Ŝ＝γ̂₀＋2∑ₖ₌₁⁷(1−k/8)γ̂ₖ；DM＝d̄/√(Ŝ/n)，双侧 p 值使用自由度 n−1 的 t 分布。HAC 统计量不另乘 Harvey–Leybourne–Newbold 因子；原 DM 列保留原检验的小样本修正。以下 p 值均未做多重比较校正，不替代正文原有 Holm 结果。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表E2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测试期损失差自相关与 Newey–West 稳健性检验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58"/>
        <w:gridCol w:w="700"/>
        <w:gridCol w:w="1000"/>
        <w:gridCol w:w="1150"/>
        <w:gridCol w:w="1000"/>
        <w:gridCol w:w="1300"/>
        <w:gridCol w:w="1450"/>
      </w:tblGrid>
      <w:tr>
        <w:trPr>
          <w:cantSplit/>
          <w:tblHeader/>
          <w:jc w:val="center"/>
        </w:trPr>
        <w:tc>
          <w:tcPr>
            <w:tcW w:w="28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比较</w:t>
            </w:r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损失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LB p</w:t>
            </w:r>
          </w:p>
        </w:tc>
        <w:tc>
          <w:tcPr>
            <w:tcW w:w="11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原 DM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原 p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HAC DM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HAC p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季节朴素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0.577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季节朴素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1.49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0.136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0.916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-0.09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0.926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1.53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1.65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0.100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-2.08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-1.69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0.093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-1.85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0.065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TSLM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0.60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0.546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TSLM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4.06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2.99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0.003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动态回归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-0.33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0.744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动态回归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2.45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1.79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0.075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XGBoost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-1.13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0.260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XGBoost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-0.17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0.867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LSTM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-1.04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0.298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LSTM 对 Naive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-0.47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0.642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LSTM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0.949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-0.05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0.963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LSTM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-0.93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0.351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XGBoost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-1.51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0.133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XGBoost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0.370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-1.85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0.065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LSTM 对 XGBoost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-0.70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0.486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LSTM 对 XGBoost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-0.66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0.508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TSLM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-4.70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-3.23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0.001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TSLM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-7.39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-5.46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动态回归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-2.41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0.017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SARIMA 对 动态回归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-5.45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-4.95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TSLM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-0.93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0.353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TSLM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-3.12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-2.07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0.039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动态回归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平方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0.009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0.39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0.695</w:t>
            </w:r>
          </w:p>
        </w:tc>
      </w:tr>
      <w:tr>
        <w:trPr>
          <w:cantSplit/>
          <w:jc w:val="center"/>
        </w:trPr>
        <w:tc>
          <w:tcPr>
            <w:tcW w:w="28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ETS 对 动态回归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绝对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&lt;0.001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-1.15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-0.84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18"/>
                <w:szCs w:val="22"/>
                <w:color w:val="000000"/>
              </w:rPr>
              <w:t>0.402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注：n＝243；LB为14阶 Ljung–Box；Newey–West 使用 Bartlett 核、带宽7；均为双侧、未校正p值。资料来源：R 输出（DM_HAC 表）。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损失差检验中有26项在5%水平拒绝无自相关。Newey–West 方差下，季节朴素对Naive的绝对损失、SARIMA对Naive的两种损失、动态回归对Naive的绝对损失，以及SARIMA对XGBoost的绝对损失由显著变为不显著；其他项目不变。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附录F 辅助服务价格探索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测试期主备用价格均值为 18.7 SGD/MWh，训练期为 1.6；训练期应急备用与调频价格相关系数为 0.85（Ancillary_Check 表）。这些结果与尺度变化及相关输入影响预测的解释一致，不能单独识别原因。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这四种处理是在看到表10 中测试期 M2 变差后才设计的，属于事后探索性检验。为检验辅助服务输入的尺度与相关性，对 M2—M4 尝试四种处理：主备用价格取 log(1+x) 或剔除，应急备用与调频价格二选一。四种组合与超参数一起按2025年验证 RMSE 选定后冻结，再滚动预测测试期，TPC 设定与表10相同。动态回归与 XGBoost 的 M2、M3 均选中“剔除主备用、仅保留应急备用”；动态回归 M4 选中“主备用取 log(1+x)、保留调频”，XGBoost M4 选中“剔除主备用、仅保留调频”。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动态回归对这一处理敏感：测试 RMSE 在 M2 由55.53降至49.93（10.1%），M3 由55.70降至50.44（9.4%），M4 由56.97降至53.68（5.8%）。与原设定的 DM 检验在两种损失下均显著；对6次比较做 Holm 校正后，M2 与 M3 仍显著，M4 在平方误差下不显著（p=0.066）。修正后 M2 的 RMSE 与 M1（49.81）接近，结果与主备用价格尺度变化及辅助价格共线性的解释一致，但处理中同时涉及删除、变换和重新调参，无法分别识别。XGBoost 的测试 RMSE 变化在−0.7%至4.0%之间，DM 检验均不显著。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表F1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辅助服务输入各处理的验证与测试 RMSE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00"/>
        <w:gridCol w:w="650"/>
        <w:gridCol w:w="1800"/>
        <w:gridCol w:w="1650"/>
        <w:gridCol w:w="1650"/>
        <w:gridCol w:w="1408"/>
      </w:tblGrid>
      <w:tr>
        <w:trPr>
          <w:cantSplit/>
          <w:tblHeader/>
          <w:jc w:val="center"/>
        </w:trPr>
        <w:tc>
          <w:tcPr>
            <w:tcW w:w="23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模型</w:t>
            </w:r>
          </w:p>
        </w:tc>
        <w:tc>
          <w:tcPr>
            <w:tcW w:w="6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步骤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处理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验证 RMSE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测试 RMSE</w:t>
            </w:r>
          </w:p>
        </w:tc>
        <w:tc>
          <w:tcPr>
            <w:tcW w:w="14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选中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37.31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55.53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37.97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53.17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37.83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52.42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36.45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49.93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36.60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49.63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36.70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55.70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37.56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53.32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37.37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52.59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35.90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50.44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35.98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50.21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41.62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56.97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41.86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54.16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41.82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53.68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42.13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51.18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42.05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51.05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36.86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53.09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36.26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51.47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36.36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51.54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36.19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50.99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36.42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50.27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35.46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52.04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35.70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52.91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35.79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54.33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35.62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52.38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36.24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52.15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original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35.23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53.02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35.96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53.35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log_reg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36.01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51.85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drop_cont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36.07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53.51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否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drop_reg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35.93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52.44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是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注：original为原设定；log/drop表示主备用取log(1+x)/剔除；cont/reg表示保留应急备用/调频。Selected只在四种探索性处理中选择。资料来源：R 输出（Ancillary_Variants 表）。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表F2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选中处理相对原设定的测试 DM 检验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58"/>
        <w:gridCol w:w="650"/>
        <w:gridCol w:w="1850"/>
        <w:gridCol w:w="1850"/>
        <w:gridCol w:w="1475"/>
        <w:gridCol w:w="1475"/>
      </w:tblGrid>
      <w:tr>
        <w:trPr>
          <w:cantSplit/>
          <w:tblHeader/>
          <w:jc w:val="center"/>
        </w:trPr>
        <w:tc>
          <w:tcPr>
            <w:tcW w:w="21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模型</w:t>
            </w:r>
          </w:p>
        </w:tc>
        <w:tc>
          <w:tcPr>
            <w:tcW w:w="6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步骤</w:t>
            </w:r>
          </w:p>
        </w:tc>
        <w:tc>
          <w:tcPr>
            <w:tcW w:w="18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 DM（p）</w:t>
            </w:r>
          </w:p>
        </w:tc>
        <w:tc>
          <w:tcPr>
            <w:tcW w:w="18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 DM（p）</w:t>
            </w:r>
          </w:p>
        </w:tc>
        <w:tc>
          <w:tcPr>
            <w:tcW w:w="14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平方 Holm p</w:t>
            </w:r>
          </w:p>
        </w:tc>
        <w:tc>
          <w:tcPr>
            <w:tcW w:w="14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绝对 Holm p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-3.77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-4.76 (&lt;0.001)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0.001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-3.89 (&lt;0.001)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-3.91 (&lt;0.001)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&lt;0.001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动态回归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-2.42 (0.016)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-2.52 (0.012)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0.066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0.050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-1.90 (0.059)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-1.80 (0.073)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0.177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0.218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0.29 (0.773)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-0.20 (0.843)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  <w:tr>
        <w:trPr>
          <w:cantSplit/>
          <w:jc w:val="center"/>
        </w:trPr>
        <w:tc>
          <w:tcPr>
            <w:tcW w:w="21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XGBoost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-0.16 (0.875)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-0.18 (0.855)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1.000</w:t>
            </w:r>
          </w:p>
        </w:tc>
      </w:tr>
    </w:tbl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注：负值表示探索性处理损失较小；Holm校正沿用R输出。资料来源：R 输出（Ancillary_DM 表）。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附录G 月度预测区间细节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经验区间以已实现绝对误差排序，取秩 ⌈(n+1)(1−α)⌉ 对应值作为半径，围绕点预测对称展开；n为误差数，α为未覆盖概率。一步区间使用截至样本末日最近180条误差；月度路径按1–7、8–14、15–30天分组，均价单独校准。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模型自带区间过宽，步长段回测覆盖率约为 98%–100%；新息方差受 2021–2023 年高波动期主导。改用与 5.1 节相同的绝对误差秩规则，按步长段分组构造对称经验区间；均价单独校准。表G1用 2025 年误差构造区间，在 2026 年检验覆盖率。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表G1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2025年误差校准区间在2026年的实际覆盖率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91"/>
        <w:gridCol w:w="1891"/>
        <w:gridCol w:w="1891"/>
        <w:gridCol w:w="1891"/>
        <w:gridCol w:w="1891"/>
      </w:tblGrid>
      <w:tr>
        <w:trPr>
          <w:cantSplit/>
          <w:tblHeader/>
          <w:jc w:val="center"/>
        </w:trPr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步长段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80%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95%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Naive 80%</w:t>
            </w:r>
          </w:p>
        </w:tc>
        <w:tc>
          <w:tcPr>
            <w:tcW w:w="189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Naive 95%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1–7 天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74.7%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91.2%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72.4%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99.5%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8–14 天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67.3%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89.4%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75.6%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99.5%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15–30 天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57.3%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85.7%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82.7%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97.2%</w:t>
            </w:r>
          </w:p>
        </w:tc>
      </w:tr>
      <w:tr>
        <w:trPr>
          <w:cantSplit/>
          <w:jc w:val="center"/>
        </w:trPr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 天均价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48.4%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87.1%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90.3%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100.0%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注：百分比为实际覆盖率，列标题百分比为名义水平。资料来源：R 输出（Horizon_Backtest 表）。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SARIMA 的覆盖不足随步长扩大而加重。最终区间只用 2026 年回测误差构造，与 5.1 节只用最近已实现误差的原则一致；这样构造的最终区间无法再做样本外检验。30 天均价只有 31 条误差，95% 半径等于其中最大绝对误差，估计较不稳定。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步长段的分组半径使路径区间在第8天、第15天跳宽。最终区间无法再做样本外检验，历史误差不能保证未来覆盖率；8月波动高于较早月份也可能使区间偏窄。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附录H 9月逐日预测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以 2026 年 8 月 31 日为预测起点，SARIMA 沿用冻结设定；经验区间按 2026 年回测步长段误差校准，与表13一致。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表H1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sz w:val="24"/>
          <w:szCs w:val="24"/>
          <w:color w:val="000000"/>
        </w:rPr>
        <w:t>2026年9月 SARIMA 逐日预测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000"/>
        <w:gridCol w:w="700"/>
        <w:gridCol w:w="1758"/>
        <w:gridCol w:w="2500"/>
        <w:gridCol w:w="2500"/>
      </w:tblGrid>
      <w:tr>
        <w:trPr>
          <w:cantSplit/>
          <w:tblHeader/>
          <w:jc w:val="center"/>
        </w:trPr>
        <w:tc>
          <w:tcPr>
            <w:tcW w:w="2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日期</w:t>
            </w:r>
          </w:p>
        </w:tc>
        <w:tc>
          <w:tcPr>
            <w:tcW w:w="7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步长</w:t>
            </w:r>
          </w:p>
        </w:tc>
        <w:tc>
          <w:tcPr>
            <w:tcW w:w="17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SARIMA 点预测</w:t>
            </w:r>
          </w:p>
        </w:tc>
        <w:tc>
          <w:tcPr>
            <w:tcW w:w="25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经验 80% 区间</w:t>
            </w:r>
          </w:p>
        </w:tc>
        <w:tc>
          <w:tcPr>
            <w:tcW w:w="25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经验 95% 区间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292.49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258.82—326.17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217.91—367.08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304.64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270.96—338.31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230.05—379.22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299.84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266.17—333.52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225.26—374.43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4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312.81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279.13—346.48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238.22—387.39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5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308.96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275.28—342.63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234.37—383.54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6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299.22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265.55—332.90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224.64—373.81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7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307.37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273.69—341.04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232.78—381.95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8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294.29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246.40—342.19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205.09—383.49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2026-09-09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9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293.90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246.00—341.79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204.70—383.10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290.30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242.40—338.19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201.10—379.49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11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293.42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245.52—341.31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204.22—382.62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12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297.73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249.84—345.63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208.54—386.93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13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292.04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244.15—339.94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202.84—381.24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14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286.29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238.40—334.19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197.09—375.49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287.37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221.42—353.31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152.56—422.17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16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287.42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221.48—353.37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152.62—422.23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17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287.19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221.24—353.13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152.38—422.00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18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286.90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220.95—352.84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152.09—421.70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2026-09-19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19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286.62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220.68—352.56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151.81—421.43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2026-09-20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286.38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220.43—352.32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151.57—421.19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286.17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220.23—352.12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151.37—420.98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286.00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220.06—351.95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151.20—420.81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23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285.86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219.91—351.80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151.05—420.66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24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285.74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219.79—351.68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150.93—420.54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25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285.64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219.69—351.58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150.83—420.44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26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285.55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219.61—351.50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150.75—420.36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27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285.48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219.54—351.43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150.68—420.29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2026-09-28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285.42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219.48—351.37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150.62—420.23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2026-09-29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29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285.38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219.43—351.32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150.57—420.18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2026-09-30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30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285.34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219.39—351.28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sz w:val="22"/>
                <w:szCs w:val="22"/>
                <w:color w:val="000000"/>
              </w:rPr>
              <w:t>150.53—420.14</w:t>
            </w:r>
          </w:p>
        </w:tc>
      </w:tr>
    </w:tbl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sz w:val="20"/>
          <w:szCs w:val="20"/>
          <w:color w:val="000000"/>
        </w:rPr>
        <w:t>注：单位为 SGD/MWh；步长为距预测起点的自然日数；区间围绕点预测对称展开。资料来源：R 输出（Sept_Path 表）。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sz w:val="28"/>
          <w:szCs w:val="28"/>
          <w:color w:val="000000"/>
        </w:rPr>
        <w:t>附录I GenAI 使用声明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本组使用 ChatGPT、Claude Code 和 Codex 辅助资料核对、技术实现和报告编辑；组员须按实际情况确认以下用途与人工复核记录。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I.1 选题：AI是否参与选题及变量范围由组员按实际情况确认。【填写是否使用 AI 协助确定或缩小预测变量范围；如未使用，写“未使用”】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I.2 文献与依据：ChatGPT协助查找来源及整理引用，组员应逐条对照论文和官方原文核实论点与出处。【补充组员此前实际使用情况及人工复核方式】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I.3 技术实现：Claude Code和Codex协助代码调试、审计及预测检验，组员应核对运行模式、缓存来源和Excel结果。【补充组员此前的代码编写、调试情况及人工核对方式】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I.4 文字编辑：AI协助压缩、重组文字与排版，组员应核对原意、数字、图表和引用是否保持一致。【补充组员其他实际使用情况】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sz w:val="24"/>
          <w:szCs w:val="22"/>
          <w:color w:val="000000"/>
        </w:rPr>
        <w:t>I.5 责任与核验：本组对数据准确性、模型有效性及报告完整性负责，人工核验方式须由实际参与者确认。【待填写文献、数据和代码的人工核实方式】</w:t>
      </w:r>
    </w:p>
    <w:sectPr>
      <w:footerReference w:type="default" r:id="rId38"/>
      <w:pgSz w:w="11906" w:h="16838"/>
      <w:pgMar w:top="1195" w:right="1238" w:bottom="1195" w:left="1238" w:header="504" w:footer="504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A14" w14:textId="77777777">
      <w:pPr>
        <w:spacing w:line="240" w:lineRule="auto"/>
      </w:pPr>
      <w:r>
        <w:separator/>
      </w:r>
    </w:p>
  </w:endnote>
  <w:endnote w:type="continuationSeparator" w:id="0">
    <w:p w14:paraId="39B5C3A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96B18A0" w14:textId="77777777">
    <w:pPr>
      <w:pStyle w:val="Footer"/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4FDA" w14:textId="77777777">
      <w:pPr>
        <w:spacing w:line="240" w:lineRule="auto"/>
      </w:pPr>
      <w:r>
        <w:separator/>
      </w:r>
    </w:p>
  </w:footnote>
  <w:footnote w:type="continuationSeparator" w:id="0">
    <w:p w14:paraId="41BD2CD8" w14:textId="77777777">
      <w:pPr>
        <w:spacing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注：红虚线为训练期95%分位数554.48 SGD/MWh；灰虚线标示验证和测试起点。资料来源：EMC (n.d.b)，</w:t>
      </w:r>
      <w:r>
        <w:rPr>
          <w:color w:val="FF0000"/>
        </w:rPr>
        <w:t xml:space="preserve">R 输出。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资料来源：EMC (n.d.b)，</w:t>
      </w:r>
      <w:r>
        <w:rPr>
          <w:color w:val="FF0000"/>
        </w:rPr>
        <w:t xml:space="preserve">R 输出。SARIMA 与动态回归的最终阶数见3.5节。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资料来源：EMC (n.d.b) 与 </w:t>
      </w:r>
      <w:r>
        <w:rPr>
          <w:color w:val="FF0000"/>
        </w:rPr>
        <w:t xml:space="preserve">R 预测输出；自上而下为 SARIMA、LSTM、XGBoost 与动态回归。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2123916304">
    <w:abstractNumId w:val="8"/>
  </w:num>
  <w:num w:numId="2" w16cid:durableId="216597977">
    <w:abstractNumId w:val="6"/>
  </w:num>
  <w:num w:numId="3" w16cid:durableId="1787192930">
    <w:abstractNumId w:val="5"/>
  </w:num>
  <w:num w:numId="4" w16cid:durableId="640887110">
    <w:abstractNumId w:val="4"/>
  </w:num>
  <w:num w:numId="5" w16cid:durableId="1043409189">
    <w:abstractNumId w:val="7"/>
  </w:num>
  <w:num w:numId="6" w16cid:durableId="843974207">
    <w:abstractNumId w:val="3"/>
  </w:num>
  <w:num w:numId="7" w16cid:durableId="1615862148">
    <w:abstractNumId w:val="2"/>
  </w:num>
  <w:num w:numId="8" w16cid:durableId="1082217233">
    <w:abstractNumId w:val="1"/>
  </w:num>
  <w:num w:numId="9" w16cid:durableId="20915375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885"/>
    <w:rsid w:val="0015074B"/>
    <w:rsid w:val="0029639D"/>
    <w:rsid w:val="00326F90"/>
    <w:rsid w:val="007235FB"/>
    <w:rsid w:val="008C649D"/>
    <w:rsid w:val="00AA1D8D"/>
    <w:rsid w:val="00B47730"/>
    <w:rsid w:val="00C713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A508A"/>
  <w14:defaultImageDpi w14:val="300"/>
  <w15:docId w15:val="{91C48C47-D4AE-E44F-8283-5BA8034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360"/>
    </w:pPr>
    <w:rPr>
      <w:rFonts w:ascii="Times New Roman" w:eastAsia="Songti SC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4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12" w:lineRule="auto"/>
    </w:pPr>
    <w:rPr>
      <w:rFonts w:asciiTheme="majorHAnsi" w:eastAsiaTheme="majorEastAsia" w:hAnsiTheme="majorHAnsi" w:cstheme="majorBidi"/>
      <w:i/>
      <w:iCs/>
      <w:color w:val="000000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qFormat/>
    <w:pPr>
      <w:keepNext/>
      <w:snapToGrid w:val="0"/>
      <w:spacing w:before="0" w:after="0" w:line="240" w:lineRule="auto"/>
      <w:ind w:firstLine="0"/>
      <w:jc w:val="center"/>
    </w:pPr>
    <w:rPr>
      <w:b/>
      <w:bCs/>
      <w:color w:val="000000"/>
      <w:sz w:val="24"/>
      <w:szCs w:val="24"/>
    </w:rPr>
  </w:style>
  <w:style w:type="paragraph" w:styleId="TableNote">
    <w:name w:val="Table Note"/>
    <w:basedOn w:val="Normal"/>
    <w:qFormat/>
    <w:pPr>
      <w:keepNext/>
      <w:snapToGrid w:val="0"/>
      <w:spacing w:before="0" w:after="80" w:line="240" w:lineRule="auto"/>
      <w:ind w:firstLine="0"/>
      <w:jc w:val="both"/>
    </w:pPr>
    <w:rPr>
      <w:color w:val="000000"/>
      <w:sz w:val="20"/>
      <w:szCs w:val="20"/>
    </w:rPr>
  </w:style>
  <w:style w:type="paragraph" w:styleId="FootnoteText">
    <w:name w:val="footnote text"/>
    <w:basedOn w:val="Normal"/>
    <w:qFormat/>
    <w:pPr>
      <w:snapToGrid w:val="0"/>
      <w:spacing w:before="0" w:after="0" w:line="240" w:lineRule="auto"/>
      <w:ind w:firstLine="0"/>
      <w:jc w:val="both"/>
    </w:pPr>
    <w:rPr>
      <w:color w:val="000000"/>
      <w:sz w:val="18"/>
      <w:szCs w:val="18"/>
    </w:rPr>
  </w:style>
  <w:style w:type="character" w:styleId="FootnoteReference">
    <w:name w:val="footnote reference"/>
    <w:basedOn w:val="DefaultParagraphFont"/>
    <w:qFormat/>
    <w:rPr>
      <w:color w:val="000000"/>
      <w:vertAlign w:val="superscript"/>
    </w:rPr>
  </w:style>
  <w:style w:type="character" w:styleId="Hyperlink">
    <w:name w:val="Hyperlink"/>
    <w:basedOn w:val="DefaultParagraphFont"/>
    <w:qFormat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arxiv.org/abs/2507.07477v1" TargetMode="External"/><Relationship Id="rId18" Type="http://schemas.openxmlformats.org/officeDocument/2006/relationships/hyperlink" Target="https://www.ema.gov.sg/resources/singapore-energy-statistics/chapter5" TargetMode="External"/><Relationship Id="rId26" Type="http://schemas.openxmlformats.org/officeDocument/2006/relationships/hyperlink" Target="https://doi.org/10.1093/biomet/65.2.297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nems.emcsg.com/nems-prices" TargetMode="External"/><Relationship Id="rId34" Type="http://schemas.openxmlformats.org/officeDocument/2006/relationships/hyperlink" Target="https://doi.org/10.1093/biomet/71.3.59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kg.robjhyndman.com/forecast/reference/dm.test.html" TargetMode="External"/><Relationship Id="rId17" Type="http://schemas.openxmlformats.org/officeDocument/2006/relationships/hyperlink" Target="https://www.ema.gov.sg/resources/singapore-energy-statistics/chapter2" TargetMode="External"/><Relationship Id="rId25" Type="http://schemas.openxmlformats.org/officeDocument/2006/relationships/hyperlink" Target="https://doi.org/10.1016/0304-4076(92)90104-Y" TargetMode="External"/><Relationship Id="rId33" Type="http://schemas.openxmlformats.org/officeDocument/2006/relationships/hyperlink" Target="https://doi.org/10.1016/j.apenergy.2023.121989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ema.gov.sg/news-events/news/media-releases/2023/introduction-of-the-temporary-price-cap" TargetMode="External"/><Relationship Id="rId20" Type="http://schemas.openxmlformats.org/officeDocument/2006/relationships/hyperlink" Target="https://www.nems.emcsg.com/Guide-To-Prices" TargetMode="External"/><Relationship Id="rId29" Type="http://schemas.openxmlformats.org/officeDocument/2006/relationships/hyperlink" Target="https://www.mom.gov.sg/newsroom/press-releases/2025/0415-public-holiday-on-polling-day_3-may-20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energy.2017.04.005" TargetMode="External"/><Relationship Id="rId24" Type="http://schemas.openxmlformats.org/officeDocument/2006/relationships/hyperlink" Target="https://otexts.com/fpp3/" TargetMode="External"/><Relationship Id="rId32" Type="http://schemas.openxmlformats.org/officeDocument/2006/relationships/hyperlink" Target="https://eservices.mas.gov.sg/Statistics/msb/ExchangeRates.aspx" TargetMode="External"/><Relationship Id="rId37" Type="http://schemas.openxmlformats.org/officeDocument/2006/relationships/hyperlink" Target="https://doi.org/10.1016/j.ijforecast.2014.08.00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7350015.1995.10524599" TargetMode="External"/><Relationship Id="rId23" Type="http://schemas.openxmlformats.org/officeDocument/2006/relationships/hyperlink" Target="https://doi.org/10.1162/neco.1997.9.8.1735" TargetMode="External"/><Relationship Id="rId28" Type="http://schemas.openxmlformats.org/officeDocument/2006/relationships/hyperlink" Target="https://www.mom.gov.sg/newsroom/press-releases/2023/0822-public-holiday-on-polling-day---1-sep-2023" TargetMode="External"/><Relationship Id="rId36" Type="http://schemas.openxmlformats.org/officeDocument/2006/relationships/hyperlink" Target="https://www.eia.gov/dnav/pet/hist/RBRTED.ht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ma.gov.sg/consumer-information/energy-prices-in-singapore-what-you-need-to-know/what-is-affecting-energy-prices-in-singapore" TargetMode="External"/><Relationship Id="rId31" Type="http://schemas.openxmlformats.org/officeDocument/2006/relationships/hyperlink" Target="https://www.meti.gov.sg/newsroom/oral-reply-to-pqs-on-temporary-electricity-contracting-support-scheme--trecs-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1603.02754" TargetMode="External"/><Relationship Id="rId22" Type="http://schemas.openxmlformats.org/officeDocument/2006/relationships/hyperlink" Target="https://doi.org/10.1016/S0169-2070(96)00719-4" TargetMode="External"/><Relationship Id="rId27" Type="http://schemas.openxmlformats.org/officeDocument/2006/relationships/hyperlink" Target="https://www.weather.gov.sg/climate-historical-daily/" TargetMode="External"/><Relationship Id="rId30" Type="http://schemas.openxmlformats.org/officeDocument/2006/relationships/hyperlink" Target="https://www.mom.gov.sg/employment-practices/public-holidays" TargetMode="External"/><Relationship Id="rId35" Type="http://schemas.openxmlformats.org/officeDocument/2006/relationships/hyperlink" Target="https://cran.r-project.org/web/packages/tseries/tseries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1" Type="http://schemas.openxmlformats.org/officeDocument/2006/relationships/image" Target="media/image4.png"/><Relationship Id="rId42" Type="http://schemas.openxmlformats.org/officeDocument/2006/relationships/image" Target="media/image5.png"/><Relationship Id="rId43" Type="http://schemas.openxmlformats.org/officeDocument/2006/relationships/image" Target="media/image6.png"/><Relationship Id="rId4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新加坡日度电价预测研究报告</dc:title>
  <dc:subject>精简修订稿</dc:subject>
  <dc:creator>#WAN YUXUAN#</dc:creator>
  <cp:keywords/>
  <dc:description/>
  <cp:lastModifiedBy>#WAN YUXUAN#</cp:lastModifiedBy>
  <cp:revision>2</cp:revision>
  <dcterms:created xsi:type="dcterms:W3CDTF">2026-10-11T07:56:00Z</dcterms:created>
  <dcterms:modified xsi:type="dcterms:W3CDTF">2026-10-11T09:53:37.376Z</dcterms:modified>
  <cp:category/>
</cp:coreProperties>
</file>