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362340EA" w14:textId="77777777">
      <w:pPr>
        <w:pStyle w:val="Title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pacing w:val="5"/>
          <w:kern w:val="28"/>
          <w:sz w:val="48"/>
          <w:szCs w:val="52"/>
        </w:rPr>
        <w:t>新加坡日度电价预测研究报告</w:t>
      </w:r>
    </w:p>
    <w:p w14:paraId="017E12CD" w14:textId="77777777">
      <w:pPr>
        <w:pStyle w:val="Subtitle"/>
      </w:pPr>
      <w:r>
        <w:rPr>
          <w:rFonts w:ascii="Calibri" w:hAnsi="Calibri" w:eastAsia="Songti SC" w:cs="Calibri" w:asciiTheme="majorHAnsi" w:hAnsiTheme="majorHAnsi" w:csTheme="majorBidi"/>
          <w:i/>
          <w:iCs/>
          <w:color w:val="000000"/>
          <w:spacing w:val="15"/>
          <w:sz w:val="24"/>
          <w:szCs w:val="24"/>
        </w:rPr>
        <w:t>传统计量 机器学习与神经网络模型比较</w:t>
      </w:r>
    </w:p>
    <w:p w14:paraId="5CA3E204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研究窗口 2021年1月1日至2026年8月31日</w:t>
      </w:r>
    </w:p>
    <w:p w14:paraId="16229F5B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1 引言与研究动机</w:t>
      </w:r>
    </w:p>
    <w:p w14:paraId="49481437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本研究预测新加坡统一能源价格（Uniform Singapore Energy Price，USEP）的日均值，比较六个预测模型与两个基准的一日超前表现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，并以 2026 年 8 月 31 日为截止日，给出 9 月 1 日的一日预测与 9 月整月展望。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USEP 是每半小时取电节点价格的加权均值 (</w:t>
      </w:r>
      <w:hyperlink w:anchor="ref_EMCa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EMC n.d.a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)；本研究以一天48个时段的算术平均作为日度目标。</w:t>
      </w:r>
    </w:p>
    <w:p w14:paraId="6D3C579F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2024年，天然气占新加坡发电燃料组合的94.0% (</w:t>
      </w:r>
      <w:hyperlink w:anchor="ref_EMAa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EMA n.d.a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)。燃料成本与系统供需影响发电商报价及批发电价 (</w:t>
      </w:r>
      <w:hyperlink w:anchor="ref_EMAc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EMA n.d.c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)。一日超前预测可为零售商安排采购与对冲、大用户调整用电及发电商安排燃料提供参考。2021年下半年，全球天然气价格上涨与管道气供应中断加剧了批发电价波动；当年10—12月六家零售商退出市场，说明短期价格风险具有商业影响 (</w:t>
      </w:r>
      <w:hyperlink w:anchor="ref_MTI2022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MTI 2022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)。</w:t>
      </w:r>
    </w:p>
    <w:p w14:paraId="3EFA6034" w14:textId="77777777">
      <w:pPr>
        <w:jc w:val="both"/>
      </w:pPr>
      <w:hyperlink w:anchor="ref_Weron2014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Weron (2014)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 强调电价的季节性与尖峰，以及在共同数据和评价设计下比较模型的必要性。针对 USEP，</w:t>
      </w:r>
      <w:hyperlink w:anchor="ref_Sai2023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Sai et al. (2023)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 使用 XGBoost，每半小时更新未来六小时预测；</w:t>
      </w:r>
      <w:hyperlink w:anchor="ref_Cai2025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Cai, Li, and Wang (2025)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 的工作论文研究日度价格收益率，发现滞后 USEP 与应急备用价格在其特征重要性分析中较突出。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与上述研究相比，本研究预测日均价格水平而非半小时价格或价格收益率，在统一滚动设计下比较统计模型、XGBoost 与 LSTM，并在同一模型内考察外部变量的预测增益。</w:t>
      </w:r>
    </w:p>
    <w:p w14:paraId="264984E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研究问题围绕一日超前预测：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①六个模型中哪些具有较低的一日超前预测误差，差异是否显著？②在相同模型内加入需求、辅助服务价格、燃料、温度与日历信息，是否改善样本外预测？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作为延伸，第5节以同一截止日给出未来一个月的展望，考察预测期限延长后预测表现与不确定性的变化。</w:t>
      </w:r>
    </w:p>
    <w:p w14:paraId="6D7B8B58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2 预测变量选择与依据</w:t>
      </w:r>
    </w:p>
    <w:p w14:paraId="379DA67B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价格历史提供持续性和周内模式；外部变量反映供需、成本与制度条件。连续外部变量使用目标日前一日及更早的观测，星期与公众假期使用目标日已知信息。各变量的依据见</w:t>
      </w:r>
      <w:hyperlink w:anchor="tbl_1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表1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，具体构造见第3节。</w:t>
      </w:r>
    </w:p>
    <w:p w14:paraId="36088BBC" w14:textId="77777777">
      <w:pPr>
        <w:pStyle w:val="Caption"/>
        <w:keepNext/>
        <w:spacing w:before="240"/>
        <w:jc w:val="center"/>
      </w:pPr>
      <w:bookmarkStart w:id="7001" w:name="tbl_1"/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表1</w:t>
      </w:r>
      <w:bookmarkEnd w:id="7001"/>
    </w:p>
    <w:p w14:paraId="05AAA081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 xml:space="preserve">预测变量的选择依据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840"/>
        <w:gridCol w:w="4611"/>
        <w:gridCol w:w="2981"/>
      </w:tblGrid>
      <w:tr>
        <w:trPr>
          <w:cantSplit/>
          <w:tblHeader/>
          <w:jc w:val="center"/>
        </w:trPr>
        <w:tc>
          <w:tcPr>
            <w:tcW w:w="184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变量组</w:t>
            </w:r>
          </w:p>
        </w:tc>
        <w:tc>
          <w:tcPr>
            <w:tcW w:w="461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预测依据与机制</w:t>
            </w:r>
          </w:p>
        </w:tc>
        <w:tc>
          <w:tcPr>
            <w:tcW w:w="298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依据</w:t>
            </w:r>
          </w:p>
        </w:tc>
      </w:tr>
      <w:tr>
        <w:trPr>
          <w:cantSplit/>
          <w:jc w:val="center"/>
        </w:trPr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价格历史</w:t>
            </w:r>
          </w:p>
        </w:tc>
        <w:tc>
          <w:tcPr>
            <w:tcW w:w="461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价格持续性与周内模式</w:t>
            </w:r>
          </w:p>
        </w:tc>
        <w:tc>
          <w:tcPr>
            <w:tcW w:w="29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hyperlink w:anchor="ref_Weron2014" w:history="1">
              <w:r>
                <w:rPr>
                  <w:rFonts w:ascii="Times New Roman" w:hAnsi="Times New Roman" w:eastAsia="Songti SC" w:cs="Times New Roman" w:csTheme="minorBidi"/>
                  <w:color w:val="0563C1"/>
                  <w:sz w:val="22"/>
                  <w:szCs w:val="22"/>
                </w:rPr>
                <w:t xml:space="preserve">Weron (2014)</w:t>
              </w:r>
            </w:hyperlink>
          </w:p>
        </w:tc>
      </w:tr>
      <w:tr>
        <w:trPr>
          <w:cantSplit/>
          <w:jc w:val="center"/>
        </w:trPr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电力需求</w:t>
            </w:r>
          </w:p>
        </w:tc>
        <w:tc>
          <w:tcPr>
            <w:tcW w:w="461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需求增加可能提高边际出清成本</w:t>
            </w:r>
          </w:p>
        </w:tc>
        <w:tc>
          <w:tcPr>
            <w:tcW w:w="29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hyperlink w:anchor="ref_Weron2014" w:history="1">
              <w:r>
                <w:rPr>
                  <w:rFonts w:ascii="Times New Roman" w:hAnsi="Times New Roman" w:eastAsia="Songti SC" w:cs="Times New Roman" w:csTheme="minorBidi"/>
                  <w:color w:val="0563C1"/>
                  <w:sz w:val="22"/>
                  <w:szCs w:val="22"/>
                </w:rPr>
                <w:t xml:space="preserve">Weron (2014)</w:t>
              </w:r>
            </w:hyperlink>
          </w:p>
        </w:tc>
      </w:tr>
      <w:tr>
        <w:trPr>
          <w:cantSplit/>
          <w:jc w:val="center"/>
        </w:trPr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备用与调频价格</w:t>
            </w:r>
          </w:p>
        </w:tc>
        <w:tc>
          <w:tcPr>
            <w:tcW w:w="461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辅助服务反映系统约束；应急备用在 USEP 收益率研究中较突出</w:t>
            </w:r>
          </w:p>
        </w:tc>
        <w:tc>
          <w:tcPr>
            <w:tcW w:w="29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hyperlink w:anchor="ref_Cai2025" w:history="1">
              <w:r>
                <w:rPr>
                  <w:rFonts w:ascii="Times New Roman" w:hAnsi="Times New Roman" w:eastAsia="Songti SC" w:cs="Times New Roman" w:csTheme="minorBidi"/>
                  <w:color w:val="0563C1"/>
                  <w:sz w:val="22"/>
                  <w:szCs w:val="22"/>
                </w:rPr>
                <w:t xml:space="preserve">Cai, Li, and Wang (2025)</w:t>
              </w:r>
            </w:hyperlink>
          </w:p>
        </w:tc>
      </w:tr>
      <w:tr>
        <w:trPr>
          <w:cantSplit/>
          <w:jc w:val="center"/>
        </w:trPr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燃料价格</w:t>
            </w:r>
          </w:p>
        </w:tc>
        <w:tc>
          <w:tcPr>
            <w:tcW w:w="461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天然气合同与油价挂钩；BrentSGD 作为燃料成本代理</w:t>
            </w:r>
          </w:p>
        </w:tc>
        <w:tc>
          <w:tcPr>
            <w:tcW w:w="29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EMA (</w:t>
            </w:r>
            <w:hyperlink w:anchor="ref_EMAb" w:history="1">
              <w:r>
                <w:rPr>
                  <w:rFonts w:ascii="Times New Roman" w:hAnsi="Times New Roman" w:eastAsia="Songti SC" w:cs="Times New Roman" w:csTheme="minorBidi"/>
                  <w:color w:val="0563C1"/>
                  <w:sz w:val="22"/>
                  <w:szCs w:val="22"/>
                </w:rPr>
                <w:t xml:space="preserve">n.d.b</w:t>
              </w:r>
            </w:hyperlink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, </w:t>
            </w:r>
            <w:hyperlink w:anchor="ref_EMAc" w:history="1">
              <w:r>
                <w:rPr>
                  <w:rFonts w:ascii="Times New Roman" w:hAnsi="Times New Roman" w:eastAsia="Songti SC" w:cs="Times New Roman" w:csTheme="minorBidi"/>
                  <w:color w:val="0563C1"/>
                  <w:sz w:val="22"/>
                  <w:szCs w:val="22"/>
                </w:rPr>
                <w:t xml:space="preserve">n.d.c</w:t>
              </w:r>
            </w:hyperlink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)</w:t>
            </w:r>
          </w:p>
        </w:tc>
      </w:tr>
      <w:tr>
        <w:trPr>
          <w:cantSplit/>
          <w:jc w:val="center"/>
        </w:trPr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温度与日历</w:t>
            </w:r>
          </w:p>
        </w:tc>
        <w:tc>
          <w:tcPr>
            <w:tcW w:w="461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温度影响制冷需求；日历捕捉周内与假日模式</w:t>
            </w:r>
          </w:p>
        </w:tc>
        <w:tc>
          <w:tcPr>
            <w:tcW w:w="29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hyperlink w:anchor="ref_Ang2017" w:history="1">
              <w:r>
                <w:rPr>
                  <w:rFonts w:ascii="Times New Roman" w:hAnsi="Times New Roman" w:eastAsia="Songti SC" w:cs="Times New Roman" w:csTheme="minorBidi"/>
                  <w:color w:val="0563C1"/>
                  <w:sz w:val="22"/>
                  <w:szCs w:val="22"/>
                </w:rPr>
                <w:t xml:space="preserve">Ang, Wang, and Ma (2017)</w:t>
              </w:r>
            </w:hyperlink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; </w:t>
            </w:r>
            <w:hyperlink w:anchor="ref_Weron2014" w:history="1">
              <w:r>
                <w:rPr>
                  <w:rFonts w:ascii="Times New Roman" w:hAnsi="Times New Roman" w:eastAsia="Songti SC" w:cs="Times New Roman" w:csTheme="minorBidi"/>
                  <w:color w:val="0563C1"/>
                  <w:sz w:val="22"/>
                  <w:szCs w:val="22"/>
                </w:rPr>
                <w:t xml:space="preserve">Weron (2014)</w:t>
              </w:r>
            </w:hyperlink>
          </w:p>
        </w:tc>
      </w:tr>
      <w:tr>
        <w:trPr>
          <w:cantSplit/>
          <w:jc w:val="center"/>
        </w:trPr>
        <w:tc>
          <w:tcPr>
            <w:tcW w:w="184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TPC</w:t>
            </w:r>
          </w:p>
        </w:tc>
        <w:tc>
          <w:tcPr>
            <w:tcW w:w="461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触发时封顶；制度状态未反映实际触发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hyperlink w:anchor="ref_EMA2023" w:history="1">
              <w:r>
                <w:rPr>
                  <w:rFonts w:ascii="Times New Roman" w:hAnsi="Times New Roman" w:eastAsia="Songti SC" w:cs="Times New Roman" w:csTheme="minorBidi"/>
                  <w:color w:val="0563C1"/>
                  <w:sz w:val="22"/>
                  <w:szCs w:val="22"/>
                </w:rPr>
                <w:t xml:space="preserve">EMA (2023)</w:t>
              </w:r>
            </w:hyperlink>
          </w:p>
        </w:tc>
      </w:tr>
    </w:tbl>
    <w:p w14:paraId="503D13C0" w14:textId="77777777">
      <w:pPr>
        <w:pStyle w:val="TableNote"/>
        <w:keepNext w:val="0"/>
        <w:spacing w:before="60" w:after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 xml:space="preserve">注：</w:t>
      </w: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 xml:space="preserve">本研究检验各变量组的样本外预测增益（4.4节），不检验系数方向。</w:t>
      </w: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 xml:space="preserve">TPCRegime 表示制度实施状态（2023年7月1日起取1），本研究未使用实际触发状态。</w:t>
      </w: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 xml:space="preserve">资料来源：作者据所列来源整理。</w:t>
      </w:r>
    </w:p>
    <w:p w14:paraId="522B7B33" w14:textId="77777777">
      <w:pPr>
        <w:spacing w:before="240"/>
        <w:jc w:val="both"/>
      </w:pPr>
      <w:hyperlink w:anchor="ref_Ang2017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Ang, Wang, and Ma (2017)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 研究新加坡与香港的温度和分部门用电量，支持温度经制冷需求影响用电的机制；温度对本研究日电价的预测作用仍需检验。TPC 自2023年7月1日起实施，只在高且持续波动时触发，波动恢复正常后停用 (</w:t>
      </w:r>
      <w:hyperlink w:anchor="ref_EMA2023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EMA 2023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)。制度状态变量的保留由验证期决定。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由于 TPCRegime 在验证期与测试期均为1，它实际刻画的是2023年7月前后的价格水平差异，不能单独归因于价格上限机制。</w:t>
      </w:r>
    </w:p>
    <w:p w14:paraId="6922342F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3 数据与研究方法</w:t>
      </w:r>
    </w:p>
    <w:p w14:paraId="6038D50D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3.1 数据来源与构造</w:t>
      </w:r>
    </w:p>
    <w:p>
      <w:pPr>
        <w:keepNext/>
        <w:jc w:val="both"/>
      </w:pPr>
      <w:hyperlink w:anchor="tbl_2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表2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列出各变量的来源与日度构造，构造细节在表后说明。</w:t>
      </w:r>
    </w:p>
    <w:p w14:paraId="7F5235BA" w14:textId="77777777">
      <w:pPr>
        <w:pStyle w:val="Caption"/>
        <w:keepNext/>
        <w:spacing w:before="240"/>
        <w:jc w:val="center"/>
      </w:pPr>
      <w:bookmarkStart w:id="7002" w:name="tbl_2"/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表2</w:t>
      </w:r>
      <w:bookmarkEnd w:id="7002"/>
    </w:p>
    <w:p w14:paraId="215647EC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数据来源与日度构造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75"/>
        <w:gridCol w:w="2648"/>
        <w:gridCol w:w="3027"/>
        <w:gridCol w:w="1608"/>
      </w:tblGrid>
      <w:tr>
        <w:trPr>
          <w:cantSplit/>
          <w:tblHeader/>
          <w:jc w:val="center"/>
        </w:trPr>
        <w:tc>
          <w:tcPr>
            <w:tcW w:w="217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E410E4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变量</w:t>
            </w:r>
          </w:p>
        </w:tc>
        <w:tc>
          <w:tcPr>
            <w:tcW w:w="264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68B91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来源</w:t>
            </w:r>
          </w:p>
        </w:tc>
        <w:tc>
          <w:tcPr>
            <w:tcW w:w="302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91A56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日度构造</w:t>
            </w:r>
          </w:p>
        </w:tc>
        <w:tc>
          <w:tcPr>
            <w:tcW w:w="160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828E5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单位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252383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DailyUSEP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D03DD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EMC USEP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E063F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48时段算术平均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683A9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SGD/MWh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DA7C76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DemandMean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E5908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EMC NEM需求预测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E5BCA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48时段算术平均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83C61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MW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886CCE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PrimaryReserve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BC2E9C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EMC PRIRESA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90954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48时段算术平均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BB67A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SGD/MWh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3EF831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ContingencyReserve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C459D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EMC CONRESA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B6CE6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48时段算术平均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118AAE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SGD/MWh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B7717E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Regulation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89E87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EMC MFP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A919B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48时段算术平均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4C698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SGD/MWh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A4617C" w14:textId="77777777">
            <w:pPr>
              <w:keepNext/>
              <w:spacing w:line="300" w:lineRule="exact"/>
            </w:pPr>
            <w:r>
              <w:lastRenderedPageBreak/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BrentSGD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3C9AB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Brent美元现货与MAS汇率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08B2C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美元价乘SGD per USD汇率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BE602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SGD/桶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045086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TempSG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91F09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MSS五个固定站点</w:t>
            </w:r>
          </w:p>
        </w:tc>
        <w:tc>
          <w:tcPr>
            <w:tcW w:w="302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C75E0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五站均温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6FA4A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℃</w:t>
            </w:r>
          </w:p>
        </w:tc>
      </w:tr>
    </w:tbl>
    <w:p w14:paraId="2C3021A6" w14:textId="77777777">
      <w:pPr>
        <w:pStyle w:val="TableNote"/>
        <w:keepNext w:val="0"/>
        <w:spacing w:before="60" w:after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 xml:space="preserve">资料来源：Energy Market Company (</w:t>
      </w:r>
      <w:hyperlink w:anchor="ref_EMCb" w:history="1">
        <w:r>
          <w:rPr>
            <w:rFonts w:ascii="Times New Roman" w:hAnsi="Times New Roman" w:eastAsia="Songti SC" w:cs="Times New Roman" w:csTheme="minorBidi"/>
            <w:color w:val="0563C1"/>
            <w:sz w:val="20"/>
            <w:szCs w:val="20"/>
          </w:rPr>
          <w:t xml:space="preserve">EMC n.d.b</w:t>
        </w:r>
      </w:hyperlink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 xml:space="preserve">)、U.S. Energy Information Administration (</w:t>
      </w:r>
      <w:hyperlink w:anchor="ref_EIA" w:history="1">
        <w:r>
          <w:rPr>
            <w:rFonts w:ascii="Times New Roman" w:hAnsi="Times New Roman" w:eastAsia="Songti SC" w:cs="Times New Roman" w:csTheme="minorBidi"/>
            <w:color w:val="0563C1"/>
            <w:sz w:val="20"/>
            <w:szCs w:val="20"/>
          </w:rPr>
          <w:t xml:space="preserve">EIA n.d.</w:t>
        </w:r>
      </w:hyperlink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 xml:space="preserve">)、Monetary Authority of Singapore (</w:t>
      </w:r>
      <w:hyperlink w:anchor="ref_MAS" w:history="1">
        <w:r>
          <w:rPr>
            <w:rFonts w:ascii="Times New Roman" w:hAnsi="Times New Roman" w:eastAsia="Songti SC" w:cs="Times New Roman" w:csTheme="minorBidi"/>
            <w:color w:val="0563C1"/>
            <w:sz w:val="20"/>
            <w:szCs w:val="20"/>
          </w:rPr>
          <w:t xml:space="preserve">MAS n.d.</w:t>
        </w:r>
      </w:hyperlink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 xml:space="preserve">)、Meteorological Service Singapore (</w:t>
      </w:r>
      <w:hyperlink w:anchor="ref_MSS" w:history="1">
        <w:r>
          <w:rPr>
            <w:rFonts w:ascii="Times New Roman" w:hAnsi="Times New Roman" w:eastAsia="Songti SC" w:cs="Times New Roman" w:csTheme="minorBidi"/>
            <w:color w:val="0563C1"/>
            <w:sz w:val="20"/>
            <w:szCs w:val="20"/>
          </w:rPr>
          <w:t xml:space="preserve">MSS n.d.</w:t>
        </w:r>
      </w:hyperlink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 xml:space="preserve">)。</w:t>
      </w:r>
    </w:p>
    <w:p w14:paraId="4D87A589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共同研究窗口为2021年1月1日至2026年8月31日，共2,069个连续自然日，截止日期由温度数据决定。原始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文件包含 8 月 31 日之后的记录，但本研究的模型拟合、评价及第 5 节的预测均只使用截至 8 月 31 日的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数据。</w:t>
      </w:r>
    </w:p>
    <w:p w14:paraId="67E65681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USEP、需求预测及辅助服务价格均取一天48个完整时段的算术平均，不截尾价格。需求采用 NEM Demand Forecast；主备用、应急备用与调频分别采用 PRIRESA、CONRESA 与 MFP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（原始导出文件以 RESERVE GROUP 字段区分 PRIRESA 与 CONRESA，调频价格的信息类型为 MFP）。代码检查每日恰为48个时段且无重复和缺失值，否则停止运行；研究窗口内全部日期均通过检查。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BrentUSD 与 USD_SGD 在完整自然日历上向前延续，再相乘得到 BrentSGD；MAS 的美元汇率单位为每美元对应的新元 (</w:t>
      </w:r>
      <w:hyperlink w:anchor="ref_EIA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EIA n.d.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; </w:t>
      </w:r>
      <w:hyperlink w:anchor="ref_MAS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MAS n.d.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)。窗口起始非交易日沿用此前最近可用记录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：2021年1月1—3日使用2020年12月31日的 Brent 价格（51.22美元/桶）与汇率（1.3221）。</w:t>
      </w:r>
    </w:p>
    <w:p w14:paraId="0A91759F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价格特征为前1、2、7日 USEP，以及前七日均值 MA7 和样本标准差 SD7。需求、主备用、应急备用、调频、BrentSGD 与 TempSG 均滞后一天。日历变量包括目标日星期、Weekend 和 PublicHoliday；线性模型以星期五为参照，使用五个星期虚拟变量与 Weekend。假日按 MOM 公布的日期及适用补休日编码，并加入2023年9月1日与2025年5月3日两个全国投票日 (</w:t>
      </w:r>
      <w:hyperlink w:anchor="ref_MOM2023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MOM 2023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, </w:t>
      </w:r>
      <w:hyperlink w:anchor="ref_MOM2025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2025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, </w:t>
      </w:r>
      <w:hyperlink w:anchor="ref_MOMnd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n.d.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)。</w:t>
      </w:r>
    </w:p>
    <w:p w14:paraId="095A17AD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温度取 Changi、Jurong West、Ang Mo Kio、Admiralty 和 Sentosa Island 五个固定站点的均值。其他站缺测时，以相对 Changi 的温差进行 Ridge 重建；补值方法与误差见附录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A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。</w:t>
      </w:r>
    </w:p>
    <w:p w14:paraId="604B0330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3.2 描述性统计</w:t>
      </w:r>
    </w:p>
    <w:p>
      <w:pPr>
        <w:keepNext/>
        <w:jc w:val="both"/>
      </w:pPr>
      <w:hyperlink w:anchor="tbl_3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表3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按年份报告日均 USEP 的描述统计，</w:t>
      </w:r>
      <w:hyperlink w:anchor="fig_1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图1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给出全样本走势。</w:t>
      </w:r>
    </w:p>
    <w:p w14:paraId="38C6433F" w14:textId="77777777">
      <w:pPr>
        <w:pStyle w:val="Caption"/>
        <w:keepNext/>
        <w:spacing w:before="240"/>
        <w:jc w:val="center"/>
      </w:pPr>
      <w:bookmarkStart w:id="7003" w:name="tbl_3"/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表3</w:t>
      </w:r>
      <w:bookmarkEnd w:id="7003"/>
    </w:p>
    <w:p w14:paraId="5C48B88B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各年日均 USEP 描述统计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135"/>
        <w:gridCol w:w="1135"/>
        <w:gridCol w:w="1797"/>
        <w:gridCol w:w="1797"/>
        <w:gridCol w:w="1797"/>
        <w:gridCol w:w="1797"/>
      </w:tblGrid>
      <w:tr>
        <w:trPr>
          <w:cantSplit/>
          <w:tblHeader/>
          <w:jc w:val="center"/>
        </w:trPr>
        <w:tc>
          <w:tcPr>
            <w:tcW w:w="11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0E969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年份</w:t>
            </w:r>
          </w:p>
        </w:tc>
        <w:tc>
          <w:tcPr>
            <w:tcW w:w="11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FB2E18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天数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82383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均值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B3060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标准差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FAD3A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中位数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196350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最大值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388253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2021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EC81E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3FFC9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196.33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C9205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264.08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7EB79F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106.44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B2949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2,058.85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2797EE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FC50C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B337B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291.81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6DFA8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133.29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3178C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256.38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F2E1F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1,054.62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2E48CC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ABB6A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8A871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247.52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76CA10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181.96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D6B053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186.32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B460E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1,508.01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90727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2024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850CB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366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4674B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163.18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F88A6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106.38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E1E61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129.29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459A7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693.49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122B9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1E76F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C62C3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116.57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9BB91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42.41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1953A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105.08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ABA19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567.83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728DB25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6C120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243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FC6C7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197.10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7DAB81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81.21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D4816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180.36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741CD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698.63</w:t>
            </w:r>
          </w:p>
        </w:tc>
      </w:tr>
    </w:tbl>
    <w:p w14:paraId="090F37F8" w14:textId="77777777">
      <w:pPr>
        <w:pStyle w:val="TableNote"/>
        <w:keepNext w:val="0"/>
        <w:spacing w:before="60" w:after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 xml:space="preserve">注：2026年为1—8月；价格单位为 SGD/MWh。资料来源：</w:t>
      </w:r>
      <w:hyperlink w:anchor="ref_EMCb" w:history="1">
        <w:r>
          <w:rPr>
            <w:rFonts w:ascii="Times New Roman" w:hAnsi="Times New Roman" w:eastAsia="Songti SC" w:cs="Times New Roman" w:csTheme="minorBidi"/>
            <w:color w:val="0563C1"/>
            <w:sz w:val="20"/>
            <w:szCs w:val="20"/>
          </w:rPr>
          <w:t xml:space="preserve">EMC (n.d.b)</w:t>
        </w:r>
      </w:hyperlink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 xml:space="preserve">，作者计算。</w:t>
      </w:r>
    </w:p>
    <w:p w14:paraId="27E2DCC4" w14:textId="77777777">
      <w:pPr>
        <w:keepNext/>
        <w:spacing w:before="240" w:after="40" w:line="240" w:lineRule="auto"/>
        <w:jc w:val="center"/>
      </w:pPr>
      <w:r>
        <w:lastRenderedPageBreak/>
        <w:drawing>
          <wp:inline distT="0" distB="0" distL="0" distR="0">
            <wp:extent cx="5581650" cy="2514600"/>
            <wp:effectExtent l="0" t="0" r="0" b="0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C2378" w14:textId="77777777">
      <w:pPr>
        <w:pStyle w:val="Caption"/>
        <w:keepNext w:val="0"/>
        <w:spacing w:after="240"/>
        <w:jc w:val="center"/>
      </w:pPr>
      <w:bookmarkStart w:id="7004" w:name="fig_1"/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图1 全样本日均 USEP</w:t>
      </w:r>
      <w:r>
        <w:footnoteReference w:id="1"/>
      </w:r>
      <w:bookmarkEnd w:id="7004"/>
    </w:p>
    <w:p w14:paraId="67D511CE" w14:textId="77777777">
      <w:pPr>
        <w:jc w:val="both"/>
      </w:pPr>
      <w:hyperlink w:anchor="tbl_3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表3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与</w:t>
      </w:r>
      <w:hyperlink w:anchor="fig_1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图1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显示，2021年日价均值明显高于中位数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，最大值超过2,000 SGD/MWh，极端日期会放大平方误差。2025年均值为116.57，2026年前八个月回升至197.10 SGD/MWh，验证与测试处于不同价格环境。</w:t>
      </w:r>
      <w:hyperlink w:anchor="fig_2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图2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给出初始训练期的日价及其 ACF 与 PACF，平稳性分析见3.4节。</w:t>
      </w:r>
    </w:p>
    <w:p w14:paraId="7418F88E" w14:textId="77777777">
      <w:pPr>
        <w:keepNext/>
        <w:spacing w:before="80" w:after="40" w:line="240" w:lineRule="auto"/>
        <w:jc w:val="center"/>
      </w:pPr>
      <w:r>
        <w:lastRenderedPageBreak/>
        <w:drawing>
          <wp:inline distT="0" distB="0" distL="0" distR="0">
            <wp:extent cx="5581650" cy="3486150"/>
            <wp:effectExtent l="0" t="0" r="0" b="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44EED" w14:textId="77777777">
      <w:pPr>
        <w:pStyle w:val="Caption"/>
        <w:keepNext w:val="0"/>
        <w:spacing w:after="240"/>
        <w:jc w:val="center"/>
      </w:pPr>
      <w:bookmarkStart w:id="7005" w:name="fig_2"/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图2 初始训练期日价及 ACF 与 PACF</w:t>
      </w:r>
      <w:r>
        <w:footnoteReference w:id="2"/>
      </w:r>
      <w:bookmarkEnd w:id="7005"/>
    </w:p>
    <w:p w14:paraId="36CED327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3.3 评价设计</w:t>
      </w:r>
    </w:p>
    <w:p>
      <w:pPr>
        <w:keepNext/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样本按时间顺序划分为训练、验证和测试三段（</w:t>
      </w:r>
      <w:hyperlink w:anchor="tbl_4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表4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）。</w:t>
      </w:r>
    </w:p>
    <w:p w14:paraId="37874CCB" w14:textId="77777777">
      <w:pPr>
        <w:pStyle w:val="Caption"/>
        <w:keepNext/>
        <w:spacing w:before="240"/>
        <w:jc w:val="center"/>
      </w:pPr>
      <w:bookmarkStart w:id="7006" w:name="tbl_4"/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表4</w:t>
      </w:r>
      <w:bookmarkEnd w:id="7006"/>
    </w:p>
    <w:p w14:paraId="356CC43D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样本划分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135"/>
        <w:gridCol w:w="4162"/>
        <w:gridCol w:w="1135"/>
        <w:gridCol w:w="3027"/>
      </w:tblGrid>
      <w:tr>
        <w:trPr>
          <w:cantSplit/>
          <w:tblHeader/>
          <w:jc w:val="center"/>
        </w:trPr>
        <w:tc>
          <w:tcPr>
            <w:tcW w:w="11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99E87A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样本</w:t>
            </w:r>
          </w:p>
        </w:tc>
        <w:tc>
          <w:tcPr>
            <w:tcW w:w="416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787D4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日期</w:t>
            </w:r>
          </w:p>
        </w:tc>
        <w:tc>
          <w:tcPr>
            <w:tcW w:w="11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6A779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天数</w:t>
            </w:r>
          </w:p>
        </w:tc>
        <w:tc>
          <w:tcPr>
            <w:tcW w:w="302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7AA63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用途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300045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训练</w:t>
            </w:r>
          </w:p>
        </w:tc>
        <w:tc>
          <w:tcPr>
            <w:tcW w:w="416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86FE1B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2021-01-01至2024-12-31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CF1DA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1,461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B0C92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拟合初始模型及预处理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662FE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</w:t>
            </w:r>
          </w:p>
        </w:tc>
        <w:tc>
          <w:tcPr>
            <w:tcW w:w="416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D49694C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2025-01-01至2025-12-31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59460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365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E1387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选择参数和TPC规格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A722DF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</w:t>
            </w:r>
          </w:p>
        </w:tc>
        <w:tc>
          <w:tcPr>
            <w:tcW w:w="416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1F184A1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2026-01-01至2026-08-31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79D02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243</w:t>
            </w:r>
          </w:p>
        </w:tc>
        <w:tc>
          <w:tcPr>
            <w:tcW w:w="302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32724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冻结设置后评价</w:t>
            </w:r>
          </w:p>
        </w:tc>
      </w:tr>
    </w:tbl>
    <w:p w14:paraId="194CB9D3" w14:textId="77777777">
      <w:pPr>
        <w:pStyle w:val="TableNote"/>
        <w:keepNext w:val="0"/>
        <w:spacing w:before="60" w:after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资料来源：作者设定。</w:t>
      </w:r>
    </w:p>
    <w:p w14:paraId="2F81A001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验证期用于选择参数，测试期冻结设置后评价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。推荐规则为验证期 RMSE 最低者；与最低值相差 1% 以内时选择更简单的结构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比较范围为</w:t>
      </w:r>
      <w:hyperlink w:anchor="tbl_6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表6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中六个模型的完整设定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；4.4节动态回归与 XGBoost 的 M0—M3 为补充分析，各自单独估计，不参与推荐。选型以 RMSE 为指标，是为了更重视尖峰日的大误差，这与第1节所述短期价格风险的商业影响相对应。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所有方法每日生成一日超前预测，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代码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每七日扩展重估参数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，周内只用新观测更新输入及 ETS 与 ARIMA 的状态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。ETS 与 SARIMA 使用完整初始价格历史；显式特征模型与 LSTM 共用28天预热，初始训练目标为1,433天。按照滚动评价仅使用过去观测的原则，补值、标准化与早停均限于当前训练历史 (</w:t>
      </w:r>
      <w:hyperlink w:anchor="ref_Hyndman2021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Hyndman and Athanasopoulos 2021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, chap. 5)。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本研究是使用最终历史数据的回溯预测实验，没有完整模拟实时发布的信息集，第5节同理。</w:t>
      </w:r>
    </w:p>
    <w:p w14:paraId="1AE423BA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TPCRegime 仅在2025年全年 RMSE 改善至少1%，且至少三个季度改善时保留。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验证结果中，动态回归加入该变量后 RMSE 改善1.8%，四个季度均改善，予以保留；TSLM 仅改善0.4%，XGBoost 与 LSTM 变差，均未保留。</w:t>
      </w:r>
    </w:p>
    <w:p w14:paraId="3D3B567C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3.4 平稳性检验</w:t>
      </w:r>
    </w:p>
    <w:p w14:paraId="2871AA91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ADF 的原假设为存在单位根，KPSS 的原假设为水平或趋势平稳；本研究采用水平平稳规格 (</w:t>
      </w:r>
      <w:hyperlink w:anchor="ref_Said1984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Said and Dickey 1984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; </w:t>
      </w:r>
      <w:hyperlink w:anchor="ref_Kwiatkowski1992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Kwiatkowski et al. 1992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)。</w:t>
      </w:r>
      <w:hyperlink w:anchor="tbl_5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表5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为 R 中 tseries::adf.test 与 kpss.test 的结果。</w:t>
      </w:r>
    </w:p>
    <w:p w14:paraId="2BA93626" w14:textId="77777777">
      <w:pPr>
        <w:pStyle w:val="Caption"/>
        <w:keepNext/>
        <w:spacing w:before="240"/>
        <w:jc w:val="center"/>
      </w:pPr>
      <w:bookmarkStart w:id="7007" w:name="tbl_5"/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表5</w:t>
      </w:r>
      <w:bookmarkEnd w:id="7007"/>
    </w:p>
    <w:p w14:paraId="731094DA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训练期日均 USEP 平稳性检验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648"/>
        <w:gridCol w:w="1702"/>
        <w:gridCol w:w="1608"/>
        <w:gridCol w:w="1892"/>
        <w:gridCol w:w="1608"/>
      </w:tblGrid>
      <w:tr>
        <w:trPr>
          <w:cantSplit/>
          <w:tblHeader/>
          <w:jc w:val="center"/>
        </w:trPr>
        <w:tc>
          <w:tcPr>
            <w:tcW w:w="264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8F0F7F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序列</w:t>
            </w:r>
          </w:p>
        </w:tc>
        <w:tc>
          <w:tcPr>
            <w:tcW w:w="170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C523DC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ADF 统计量</w:t>
            </w:r>
          </w:p>
        </w:tc>
        <w:tc>
          <w:tcPr>
            <w:tcW w:w="160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17B49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ADF p 值</w:t>
            </w:r>
          </w:p>
        </w:tc>
        <w:tc>
          <w:tcPr>
            <w:tcW w:w="189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779D0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KPSS 统计量</w:t>
            </w:r>
          </w:p>
        </w:tc>
        <w:tc>
          <w:tcPr>
            <w:tcW w:w="160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D115A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KPSS p 值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133373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水平值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A9C4C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−6.61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EEE5D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F3C03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1.401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21114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86E88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对数值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C92495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−4.87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15974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5A645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2.151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C8A27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3E638B" w14:textId="77777777">
            <w:pPr>
              <w:keepNext/>
              <w:spacing w:line="300" w:lineRule="exact"/>
            </w:pPr>
            <w:r>
              <w:lastRenderedPageBreak/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一阶差分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7DBED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−16.68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0DFA0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3D5E1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0.006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4FA0A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&gt;0.10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5D7436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周季节差分（滞后7）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402E2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−12.10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38908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89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00C46A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FF71C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&gt;0.10</w:t>
            </w:r>
          </w:p>
        </w:tc>
      </w:tr>
    </w:tbl>
    <w:p w14:paraId="34C9FD73" w14:textId="77777777">
      <w:pPr>
        <w:pStyle w:val="TableNote"/>
        <w:keepNext w:val="0"/>
        <w:spacing w:before="60" w:after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 xml:space="preserve">注：ADF 含常数和趋势，滞后11阶；KPSS 为水平平稳检验，截断滞后7阶。p 值按临界值表插值；函数设定参见 tseries 手册 (</w:t>
      </w:r>
      <w:hyperlink w:anchor="ref_Trapletti2026" w:history="1">
        <w:r>
          <w:rPr>
            <w:rFonts w:ascii="Times New Roman" w:hAnsi="Times New Roman" w:eastAsia="Songti SC" w:cs="Times New Roman" w:csTheme="minorBidi"/>
            <w:color w:val="0563C1"/>
            <w:sz w:val="20"/>
            <w:szCs w:val="20"/>
          </w:rPr>
          <w:t xml:space="preserve">Trapletti and Hornik 2026</w:t>
        </w:r>
      </w:hyperlink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 xml:space="preserve">, 2–3, 22–23)。资料来源：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 xml:space="preserve">R 输出；软件版本与复现说明见附录B。</w:t>
      </w:r>
    </w:p>
    <w:p w14:paraId="440CE3A4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水平值检验中，含趋势的 ADF 拒绝单位根，而 KPSS 拒绝水平平稳；两项检验的确定性项设定不同，结合起来说明序列不宜视为围绕固定均值波动，可能存在趋势或水平变化。</w:t>
      </w:r>
      <w:hyperlink w:anchor="fig_2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图2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中 ACF 衰减缓慢，至滞后28仍约为0.2，与此一致。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差分后的结果支持平稳；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auto.arima() 的内部检验同样为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SARIMA 选择一阶差分（d=1，D=0）；动态回归加入价格均值等回归项后，误差选择 d=0（见3.5节）。</w:t>
      </w:r>
    </w:p>
    <w:p w14:paraId="3D85F3A1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3.5 模型设定</w:t>
      </w:r>
    </w:p>
    <w:p w14:paraId="56E0344A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比较四个统计模型（ETS、SARIMA、TSLM、动态回归）、XGBoost 与 LSTM，并以季节朴素（上周同日价格）和 Naive（前一日价格）为基准。ETS 与 SARIMA 使用价格历史；TSLM 将价格特征与外部变量作线性回归；动态回归以 ARIMA 误差刻画序列依赖 (</w:t>
      </w:r>
      <w:hyperlink w:anchor="ref_Hyndman2021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Hyndman and Athanasopoulos 2021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, chap. 10)。XGBoost 以梯度提升树拟合非线性关系 (</w:t>
      </w:r>
      <w:hyperlink w:anchor="ref_Chen2016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Chen and Guestrin 2016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)，LSTM 通过循环结构学习序列信息 (</w:t>
      </w:r>
      <w:hyperlink w:anchor="ref_Hochreiter1997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Hochreiter and Schmidhuber 1997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)。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统计模型沿用课程做法：ETS、SARIMA 与动态回归分别由 ets() 与 auto.arima() 在初始训练期按 AICc 自动选择设定，auto.arima() 以单位根与季节性检验确定差分阶数；TSLM 用 tslm() 估计，季节朴素用 snaive() 生成 (</w:t>
      </w:r>
      <w:hyperlink w:anchor="ref_Hyndman2021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Hyndman and Athanasopoulos 2021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, chaps. 5, 7–10)。设定选定后冻结，滚动期间只重估参数。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各方法的结构与候选设置见</w:t>
      </w:r>
      <w:hyperlink w:anchor="tbl_6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表6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。</w:t>
      </w:r>
    </w:p>
    <w:p w14:paraId="7242DBB0" w14:textId="77777777">
      <w:pPr>
        <w:pStyle w:val="Caption"/>
        <w:keepNext/>
        <w:spacing w:before="240"/>
        <w:jc w:val="center"/>
      </w:pPr>
      <w:bookmarkStart w:id="7008" w:name="tbl_6"/>
      <w:r>
        <w:lastRenderedPageBreak/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表6</w:t>
      </w:r>
      <w:bookmarkEnd w:id="7008"/>
    </w:p>
    <w:p w14:paraId="1CD2E0AD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模型结构与候选设置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892"/>
        <w:gridCol w:w="3594"/>
        <w:gridCol w:w="3972"/>
      </w:tblGrid>
      <w:tr>
        <w:trPr>
          <w:cantSplit/>
          <w:tblHeader/>
          <w:jc w:val="center"/>
        </w:trPr>
        <w:tc>
          <w:tcPr>
            <w:tcW w:w="189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F2E2DB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方法</w:t>
            </w:r>
          </w:p>
        </w:tc>
        <w:tc>
          <w:tcPr>
            <w:tcW w:w="359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F59F0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结构</w:t>
            </w:r>
          </w:p>
        </w:tc>
        <w:tc>
          <w:tcPr>
            <w:tcW w:w="397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E2EDF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候选设置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A35EDB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季节朴素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7AA3F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上周同日电价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F2161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snaive()，单列基准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29727B7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Naive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BDB7B5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前一日电价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18572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无参数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867D6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4848C1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误差、趋势与周季节的指数平滑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FF1B6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ets() 按 AICc 自动选择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1D4AD4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CC81E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周周期季节ARIMA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A0616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auto.arima() 按 AICc 自动选择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843AB7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TSLM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CD65A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历史特征和外部变量的OLS（tslm()）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C1BC8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按验证决定TPC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1C333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E4778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回归项加ARIMA误差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1CA4DA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auto.arima(xreg) 选择误差阶数；省略显式1 2 7日价格滞后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04B69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DDF4E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平方误差树提升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0A372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12组候选 训练末28日早停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77F0B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LSTM</w:t>
            </w:r>
          </w:p>
        </w:tc>
        <w:tc>
          <w:tcPr>
            <w:tcW w:w="359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559354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单层LSTM和线性输出</w:t>
            </w:r>
          </w:p>
        </w:tc>
        <w:tc>
          <w:tcPr>
            <w:tcW w:w="397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5CC3A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12组候选 最终三个随机种子均值</w:t>
            </w:r>
          </w:p>
        </w:tc>
      </w:tr>
    </w:tbl>
    <w:p w14:paraId="269D2659" w14:textId="77777777">
      <w:pPr>
        <w:pStyle w:val="TableNote"/>
        <w:keepNext w:val="0"/>
        <w:spacing w:before="60" w:after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作者设定；选定设置为 R 重跑结果。</w:t>
      </w:r>
    </w:p>
    <w:p w14:paraId="75D4FD7E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最终设定为：ETS 为 ETS(M,A,M)，即乘性误差、加性趋势（不阻尼）与乘性周季节；SARIMA 为 ARIMA(2,1,2)(0,0,2)[7]，不含常数；动态回归为回归项加 ARIMA(1,0,0) 误差并含常数，保留 TPCRegime；TSLM 为 OLS。动态回归省略显式的1、2、7日价格滞后，由 ARIMA 误差刻画短期依赖。</w:t>
      </w:r>
    </w:p>
    <w:p w14:paraId="070DD0D3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XGBoost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完整调参网格为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树深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{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2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,3,4}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、学习率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{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0.03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,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0.1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}、最小子节点权重 {1,5}、行抽样 {0.8,1}、列抽样 {0.8,1}、λ {1,5}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共 96 种组合；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最大600轮，以当前训练末28天早停。选定树深4、学习率0.1、最小子节点权重5，行列抽样率均为1，λ=1。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轮数在每次重估时由早停确定。</w:t>
      </w:r>
    </w:p>
    <w:p w14:paraId="3810E07B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LSTM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完整调参网格为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序列长度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{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7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,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14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,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28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}、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隐藏单元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{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16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,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32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}、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dropout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{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0.1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,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0.2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}、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学习率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{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0.0005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,0.001}，共 24 种组合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；batch size 为32，最多100 epoch，早停耐心10。选定长度28、隐藏单元16、dropout 0.1、学习率0.001；取随机种子2026、2027、2028的预测均值。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两个网格均以固定种子随机抽取 12 组；代码先设种子 2026 抽取 XGBoost，再沿同一随机数序列抽取 LSTM，实际抽中组合及顺序见附录C（Candidates 表）。</w:t>
      </w:r>
    </w:p>
    <w:p w14:paraId="7A80A081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3.6 评价指标与统计检验</w:t>
      </w:r>
    </w:p>
    <w:p w14:paraId="339A5C31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选型主指标为 RMSE，MAE 为主要补充指标，另报告 MASE、sMAPE 及相对两个基准的 MAE 比值。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RMSE 更重视大误差，MAE 直接衡量平均金额误差 (</w:t>
      </w:r>
      <w:hyperlink w:anchor="ref_Hyndman2021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Hyndman and Athanasopoulos 2021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, chap. 5)。MASE 分母固定为初始训练期季节朴素 MAE，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经 R 复核为100.29 SGD/MWh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，各模型及子期使用相同分母。</w:t>
      </w:r>
    </w:p>
    <w:p w14:paraId="43CF89DC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以14阶 Ljung–Box 检验一步预测误差的自相关 (</w:t>
      </w:r>
      <w:hyperlink w:anchor="ref_Ljung1978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Ljung and Box 1978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)，以平均误差（实际值减预测值）描述偏差，并以 KPSS 检验误差的水平平稳性 (</w:t>
      </w:r>
      <w:hyperlink w:anchor="ref_Kwiatkowski1992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Kwiatkowski et al. 1992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)。四个统计模型另对训练期样本内残差运行 checkresiduals()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，结果见4.2节。</w:t>
      </w:r>
    </w:p>
    <w:p w14:paraId="0BE89065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DM 检验比较两个方法的预测损失 (</w:t>
      </w:r>
      <w:hyperlink w:anchor="ref_Diebold1995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Diebold and Mariano 1995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)。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原始 DM 检验使用 forecast::dm.test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 的 Harvey–Leybourne–Newbold 小样本修正，一日超前 h=1；power=2 比较平方误差，power=1 比较绝对误差 (</w:t>
      </w:r>
      <w:hyperlink w:anchor="ref_Harvey1997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Harvey, Leybourne, and Newbold 1997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; </w:t>
      </w:r>
      <w:hyperlink w:anchor="ref_Athan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Athanasopoulos and Kuroptev n.d.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)。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比较对象为各模型对 Naive，以及测试 RMSE 前三名两两之间；这三个模型也恰为验证期前三名，两两比较属于补充分析。测试期损失差普遍存在自相关（附录D），正文因此报告以 Newey–West 长期方差计算的测试期 DM 统计量 (</w:t>
      </w:r>
      <w:hyperlink w:anchor="ref_Newey1987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Newey and West 1987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)，使用 Bartlett 核、带宽7及自由度 n−1 的双侧 t 检验，p 值未做多重比较校正。原始 DM 检验的验证期与测试期结果、Holm 校正，以及价格历史模型与外部变量回归模型的比较见附录D。</w:t>
      </w:r>
    </w:p>
    <w:p w14:paraId="73F83380" w14:textId="77777777">
      <w:pPr>
        <w:pStyle w:val="Heading1"/>
      </w:pPr>
      <w:r>
        <w:lastRenderedPageBreak/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4 模型评估与推荐</w:t>
      </w:r>
    </w:p>
    <w:p w14:paraId="13DCBA47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结果由提交的 R 代码生成，复现细节见附录B。</w:t>
      </w:r>
    </w:p>
    <w:p w14:paraId="15E2E42D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4.1 预测误差比较</w:t>
      </w:r>
    </w:p>
    <w:p>
      <w:pPr>
        <w:keepNext/>
        <w:jc w:val="both"/>
      </w:pPr>
      <w:hyperlink w:anchor="tbl_7a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表7a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按测试 RMSE 排序，报告各方法在验证期和测试期的 RMSE 与 MAE。</w:t>
      </w:r>
    </w:p>
    <w:p w14:paraId="3C585688" w14:textId="77777777">
      <w:pPr>
        <w:pStyle w:val="Caption"/>
        <w:keepNext/>
        <w:spacing w:before="240"/>
        <w:jc w:val="center"/>
      </w:pPr>
      <w:bookmarkStart w:id="7009" w:name="tbl_7a"/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表7a</w:t>
      </w:r>
      <w:bookmarkEnd w:id="7009"/>
    </w:p>
    <w:p w14:paraId="7BF10B68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验证与测试期主要误差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98"/>
        <w:gridCol w:w="1815"/>
        <w:gridCol w:w="1815"/>
        <w:gridCol w:w="1815"/>
        <w:gridCol w:w="1815"/>
      </w:tblGrid>
      <w:tr>
        <w:trPr>
          <w:cantSplit/>
          <w:tblHeader/>
          <w:jc w:val="center"/>
        </w:trPr>
        <w:tc>
          <w:tcPr>
            <w:tcW w:w="219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方法</w:t>
            </w:r>
          </w:p>
        </w:tc>
        <w:tc>
          <w:tcPr>
            <w:tcW w:w="181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验证 RMSE</w:t>
            </w:r>
          </w:p>
        </w:tc>
        <w:tc>
          <w:tcPr>
            <w:tcW w:w="181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验证 MAE</w:t>
            </w:r>
          </w:p>
        </w:tc>
        <w:tc>
          <w:tcPr>
            <w:tcW w:w="181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测试 RMSE</w:t>
            </w:r>
          </w:p>
        </w:tc>
        <w:tc>
          <w:tcPr>
            <w:tcW w:w="181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测试 MAE</w:t>
            </w:r>
          </w:p>
        </w:tc>
      </w:tr>
      <w:tr>
        <w:trPr>
          <w:cantSplit/>
          <w:jc w:val="center"/>
        </w:trPr>
        <w:tc>
          <w:tcPr>
            <w:tcW w:w="219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SARIMA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36.16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18.31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50.21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28.19</w:t>
            </w:r>
          </w:p>
        </w:tc>
      </w:tr>
      <w:tr>
        <w:trPr>
          <w:cantSplit/>
          <w:jc w:val="center"/>
        </w:trPr>
        <w:tc>
          <w:tcPr>
            <w:tcW w:w="219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LSTM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35.92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20.88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50.40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30.09</w:t>
            </w:r>
          </w:p>
        </w:tc>
      </w:tr>
      <w:tr>
        <w:trPr>
          <w:cantSplit/>
          <w:jc w:val="center"/>
        </w:trPr>
        <w:tc>
          <w:tcPr>
            <w:tcW w:w="219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XGBoost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35.23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19.57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53.02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31.24</w:t>
            </w:r>
          </w:p>
        </w:tc>
      </w:tr>
      <w:tr>
        <w:trPr>
          <w:cantSplit/>
          <w:jc w:val="center"/>
        </w:trPr>
        <w:tc>
          <w:tcPr>
            <w:tcW w:w="219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动态回归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41.62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28.87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56.97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37.40</w:t>
            </w:r>
          </w:p>
        </w:tc>
      </w:tr>
      <w:tr>
        <w:trPr>
          <w:cantSplit/>
          <w:jc w:val="center"/>
        </w:trPr>
        <w:tc>
          <w:tcPr>
            <w:tcW w:w="219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ETS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40.44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21.98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58.71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34.88</w:t>
            </w:r>
          </w:p>
        </w:tc>
      </w:tr>
      <w:tr>
        <w:trPr>
          <w:cantSplit/>
          <w:jc w:val="center"/>
        </w:trPr>
        <w:tc>
          <w:tcPr>
            <w:tcW w:w="219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Naive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41.91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19.74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59.19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31.76</w:t>
            </w:r>
          </w:p>
        </w:tc>
      </w:tr>
      <w:tr>
        <w:trPr>
          <w:cantSplit/>
          <w:jc w:val="center"/>
        </w:trPr>
        <w:tc>
          <w:tcPr>
            <w:tcW w:w="219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TSLM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42.63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27.82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63.36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42.15</w:t>
            </w:r>
          </w:p>
        </w:tc>
      </w:tr>
      <w:tr>
        <w:trPr>
          <w:cantSplit/>
          <w:jc w:val="center"/>
        </w:trPr>
        <w:tc>
          <w:tcPr>
            <w:tcW w:w="219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季节朴素</w:t>
            </w:r>
          </w:p>
        </w:tc>
        <w:tc>
          <w:tcPr>
            <w:tcW w:w="181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51.05</w:t>
            </w:r>
          </w:p>
        </w:tc>
        <w:tc>
          <w:tcPr>
            <w:tcW w:w="181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26.31</w:t>
            </w:r>
          </w:p>
        </w:tc>
        <w:tc>
          <w:tcPr>
            <w:tcW w:w="181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65.09</w:t>
            </w:r>
          </w:p>
        </w:tc>
        <w:tc>
          <w:tcPr>
            <w:tcW w:w="181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38.30</w:t>
            </w:r>
          </w:p>
        </w:tc>
      </w:tr>
    </w:tbl>
    <w:p w14:paraId="6B627A46" w14:textId="77777777">
      <w:pPr>
        <w:pStyle w:val="TableNote"/>
        <w:keepNext w:val="0"/>
        <w:spacing w:before="60" w:after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注：单位 SGD/MWh，按测试 RMSE 排序。资料来源：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输出。</w:t>
      </w:r>
    </w:p>
    <w:p>
      <w:pPr>
        <w:keepNext/>
        <w:jc w:val="both"/>
      </w:pPr>
      <w:hyperlink w:anchor="tbl_7b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表7b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从 MASE、sMAPE 及相对两个基准的 MAE 比值补充比较测试期表现。</w:t>
      </w:r>
    </w:p>
    <w:p w14:paraId="3BF9AD04" w14:textId="77777777">
      <w:pPr>
        <w:pStyle w:val="Caption"/>
        <w:keepNext/>
        <w:spacing w:before="240"/>
        <w:jc w:val="center"/>
      </w:pPr>
      <w:bookmarkStart w:id="7010" w:name="tbl_7b"/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表7b</w:t>
      </w:r>
      <w:bookmarkEnd w:id="7010"/>
    </w:p>
    <w:p w14:paraId="07CC77BC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测试期补充指标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270"/>
        <w:gridCol w:w="1324"/>
        <w:gridCol w:w="1513"/>
        <w:gridCol w:w="2270"/>
        <w:gridCol w:w="2081"/>
      </w:tblGrid>
      <w:tr>
        <w:trPr>
          <w:cantSplit/>
          <w:tblHeader/>
          <w:jc w:val="center"/>
        </w:trPr>
        <w:tc>
          <w:tcPr>
            <w:tcW w:w="22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6F4758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方法</w:t>
            </w:r>
          </w:p>
        </w:tc>
        <w:tc>
          <w:tcPr>
            <w:tcW w:w="132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10F37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MASE</w:t>
            </w:r>
          </w:p>
        </w:tc>
        <w:tc>
          <w:tcPr>
            <w:tcW w:w="1513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5885F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sMAPE %</w:t>
            </w:r>
          </w:p>
        </w:tc>
        <w:tc>
          <w:tcPr>
            <w:tcW w:w="22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18A3C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MAE / 季节朴素</w:t>
            </w:r>
          </w:p>
        </w:tc>
        <w:tc>
          <w:tcPr>
            <w:tcW w:w="208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4F1E7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MAE / Naive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9831A8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B5B6E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0.28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3575B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12.80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F2764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0.74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B0587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0.89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43B9A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LSTM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366D5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0.30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0CD65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14.15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8731C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0.79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8E64C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0.95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FBFA4B5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1E76F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0.31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C6B8F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14.23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B2063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0.82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3A6225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0.98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4DBCFA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57AD7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0.37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A5B41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19.78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FAFA1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0.98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158805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1.18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3DCA48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29FD2D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0.35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67494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15.11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723EB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0.91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DC04B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1.10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799688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Naive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90AD0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0.32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4AECA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13.83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65162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0.83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1000C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1.00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171E95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TSLM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FCF63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0.42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7EB61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23.93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1D1C0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1.10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C7FEF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1.33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24BCFB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季节朴素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6D7E2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0.38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8D2E4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17.26</w:t>
            </w:r>
          </w:p>
        </w:tc>
        <w:tc>
          <w:tcPr>
            <w:tcW w:w="227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3535A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8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B583C0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1.21</w:t>
            </w:r>
          </w:p>
        </w:tc>
      </w:tr>
    </w:tbl>
    <w:p w14:paraId="76205A3D" w14:textId="77777777">
      <w:pPr>
        <w:pStyle w:val="TableNote"/>
        <w:keepNext w:val="0"/>
        <w:spacing w:before="60" w:after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注：MAE 比值小于1表示优于对应基准。资料来源：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输出。</w:t>
      </w:r>
    </w:p>
    <w:p w14:paraId="5232D337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SARIMA 的测试 RMSE 为50.21，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在</w:t>
      </w:r>
      <w:hyperlink w:anchor="tbl_7a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表7a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的八种方法中最低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，较 Naive 与季节朴素分别低15.2%和22.9%；LSTM（50.40）与 XGBoost（53.02）次之，前三名 RMSE 介于50.21—53.02。ETS 仅比 Naive 低0.8%，TSLM 劣于 Naive。按 sMAPE，SARIMA（12.80%）最低，Naive（13.83%）次之，模型排名随指标变化。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XGBoost 的验证 RMSE 最低（35.23），SARIMA 的验证 MAE 最低（18.31），测试期两项指标均以 SARIMA 最低（</w:t>
      </w:r>
      <w:hyperlink w:anchor="fig_3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图3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）。选型按事先确定的验证 RMSE 规则进行（4.5节），差异的统计支持见4.3节。</w:t>
      </w:r>
    </w:p>
    <w:p w14:paraId="02DDC4F8" w14:textId="77777777">
      <w:pPr>
        <w:keepNext/>
        <w:spacing w:before="80" w:after="40" w:line="240" w:lineRule="auto"/>
        <w:jc w:val="center"/>
      </w:pPr>
      <w:r>
        <w:lastRenderedPageBreak/>
        <w:drawing>
          <wp:inline distT="0" distB="0" distL="0" distR="0">
            <wp:extent cx="5124450" cy="4800600"/>
            <wp:effectExtent l="0" t="0" r="0" b="0"/>
            <wp:docPr id="100002" name="Picture 100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2" name="image100002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A055C" w14:textId="77777777">
      <w:pPr>
        <w:pStyle w:val="Caption"/>
        <w:keepNext w:val="0"/>
        <w:spacing w:after="240"/>
        <w:jc w:val="center"/>
      </w:pPr>
      <w:bookmarkStart w:id="7011" w:name="fig_3"/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图3</w:t>
      </w: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 xml:space="preserve"> 测试期实际日价与测试 RMSE 最低的四个模型</w:t>
      </w:r>
      <w:r>
        <w:footnoteReference w:id="3"/>
      </w:r>
      <w:bookmarkEnd w:id="7011"/>
    </w:p>
    <w:p w14:paraId="4F1DCD55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 xml:space="preserve">4.2 </w:t>
      </w: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 xml:space="preserve">预测误差诊断</w:t>
      </w:r>
    </w:p>
    <w:p>
      <w:pPr>
        <w:keepNext/>
        <w:jc w:val="both"/>
      </w:pPr>
      <w:hyperlink w:anchor="tbl_8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表8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报告各方法一步预测误差的自相关检验、误差 KPSS 检验以及验证期和测试期的平均误差。</w:t>
      </w:r>
    </w:p>
    <w:p w14:paraId="455B0AB3" w14:textId="77777777">
      <w:pPr>
        <w:pStyle w:val="Caption"/>
        <w:keepNext/>
        <w:spacing w:before="240"/>
        <w:jc w:val="center"/>
      </w:pPr>
      <w:bookmarkStart w:id="7012" w:name="tbl_8"/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表8</w:t>
      </w:r>
      <w:bookmarkEnd w:id="7012"/>
    </w:p>
    <w:p w14:paraId="570E38CF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一步预测误差诊断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608"/>
        <w:gridCol w:w="1324"/>
        <w:gridCol w:w="1324"/>
        <w:gridCol w:w="1230"/>
        <w:gridCol w:w="1135"/>
        <w:gridCol w:w="1419"/>
        <w:gridCol w:w="1419"/>
      </w:tblGrid>
      <w:tr>
        <w:trPr>
          <w:cantSplit/>
          <w:tblHeader/>
          <w:jc w:val="center"/>
        </w:trPr>
        <w:tc>
          <w:tcPr>
            <w:tcW w:w="160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B6402E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方法</w:t>
            </w:r>
          </w:p>
        </w:tc>
        <w:tc>
          <w:tcPr>
            <w:tcW w:w="132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C905A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LB 验证 p</w:t>
            </w:r>
          </w:p>
        </w:tc>
        <w:tc>
          <w:tcPr>
            <w:tcW w:w="132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EB4C9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LB 测试 p</w:t>
            </w:r>
          </w:p>
        </w:tc>
        <w:tc>
          <w:tcPr>
            <w:tcW w:w="123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E6CE4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误差 KPSS</w:t>
            </w:r>
          </w:p>
        </w:tc>
        <w:tc>
          <w:tcPr>
            <w:tcW w:w="11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83FF7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KPSS p</w:t>
            </w:r>
          </w:p>
        </w:tc>
        <w:tc>
          <w:tcPr>
            <w:tcW w:w="1419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0ED30C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2025​均误差</w:t>
            </w:r>
          </w:p>
        </w:tc>
        <w:tc>
          <w:tcPr>
            <w:tcW w:w="1419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744DD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2026​均误差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1B2009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Naive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CCDA0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D5E5A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D956E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0.016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E8683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&gt;0.10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7F3B11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−0.03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DDC3C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0.77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74B107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季节朴素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B83CD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0237F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2A5D0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0.133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40461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&gt;0.10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CCB03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−0.22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906CF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8.09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9EBEC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08DF9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763F6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6C32C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0.010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E5EC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&gt;0.10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AE679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−1.20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86F6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−0.65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A42E47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9017E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0.038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F20F5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0.003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44A58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1.356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8EE2D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CA03D4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−0.94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5C707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11.15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AC5184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TSLM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C00F0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0.027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0CF30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D446E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1.669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B20E2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D6958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3.23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3383A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25.95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F3EFB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3F756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0.002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86CB8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39CF6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1.025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D7984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8FAF76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−2.74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EF0EE3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11.17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839E71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62406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0.062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4E543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027C4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0.796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67958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DF2F2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−4.86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220D3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4.97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3B6E8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LSTM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0CDCC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0.115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7DC78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5C8A2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1.179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E2C69D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E4F9A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−3.16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4A5D6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9.33</w:t>
            </w:r>
          </w:p>
        </w:tc>
      </w:tr>
    </w:tbl>
    <w:p w14:paraId="5D321877" w14:textId="77777777">
      <w:pPr>
        <w:pStyle w:val="TableNote"/>
        <w:keepNext w:val="0"/>
        <w:spacing w:before="60" w:after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注：LB 为14阶检验；KPSS 使用2025—2026年608天误差。平均误差单位为 SGD/MWh，正值表示低估。资料来源：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输出。</w:t>
      </w:r>
    </w:p>
    <w:p w14:paraId="65E1736E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验证期仅 XGBoost 与 LSTM 的 LB p 值大于0.05，测试期所有方法均拒绝误差无自相关。除 ETS（−0.65）外，各方法测试期平均误差均为正，SARIMA 与动态回归约低估11 SGD/MWh；SARIMA、TSLM、动态回归、XGBoost 与 LSTM 的误差 KPSS 拒绝水平平稳，与2026年价格水平上移一致。误差均值和自相关的变化表明，点预测排名不能替代误差诊断。</w:t>
      </w:r>
    </w:p>
    <w:p w14:paraId="151639E0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训练期样本内残差的 checkresiduals() 检验中，ETS 的 Ljung–Box 统计量为75.31，SARIMA 为28.61，动态回归为25.90（p=0.018），均为14阶；TSLM 的 Breusch–Godfrey 检验（22阶）为49.09。ETS、SARIMA 与 TSLM 的 p 值均小于0.001。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四个统计模型的残差均存在未解释的序列依赖。第5节的预测区间采用滚动经验误差，减少了对模型残差分布假设的依赖，但仍假设近期误差能代表下一期误差；</w:t>
      </w:r>
      <w:hyperlink w:anchor="tbl_8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表8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中多数模型的误差 KPSS 拒绝水平平稳，说明这一前提在测试期不稳固，5.1节的覆盖率不足与此一致。</w:t>
      </w:r>
    </w:p>
    <w:p w14:paraId="10B703F8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4.3 预测差异的 DM 检验</w:t>
      </w:r>
    </w:p>
    <w:p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考虑损失差自相关后（</w:t>
      </w:r>
      <w:hyperlink w:anchor="tbl_9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表9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），在5%水平上没有模型显著优于 Naive：SARIMA 对 Naive 的平方损失与绝对损失 p 值分别为0.093和0.065。TSLM 在绝对损失下显著劣于 Naive（p=0.003）。测试 RMSE 前三名之间的两两差异均不显著，其中 SARIMA 对 XGBoost 的绝对损失比较 p=0.065。以上 p 值未做多重比较校正。原始 DM 检验未考虑损失差自相关，在该检验下 SARIMA 对 Naive（两种损失）及 SARIMA 对 XGBoost（绝对损失）的未校正 p 值低于0.05，但这些差异在考虑自相关或做 Holm 校正后均不显著；完整结果见附录D。</w:t>
      </w:r>
    </w:p>
    <w:p w14:paraId="58200068" w14:textId="77777777">
      <w:pPr>
        <w:pStyle w:val="Caption"/>
        <w:keepNext/>
        <w:spacing w:before="240"/>
        <w:jc w:val="center"/>
      </w:pPr>
      <w:bookmarkStart w:id="7013" w:name="tbl_9"/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表9</w:t>
      </w:r>
      <w:bookmarkEnd w:id="7013"/>
    </w:p>
    <w:p w14:paraId="64E7FEB3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 xml:space="preserve">测试期 DM 检验（Newey–West 方差）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58"/>
        <w:gridCol w:w="3150"/>
        <w:gridCol w:w="3150"/>
      </w:tblGrid>
      <w:tr>
        <w:trPr>
          <w:cantSplit/>
          <w:tblHeader/>
          <w:jc w:val="center"/>
        </w:trPr>
        <w:tc>
          <w:tcPr>
            <w:tcW w:w="31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比较</w:t>
            </w:r>
          </w:p>
        </w:tc>
        <w:tc>
          <w:tcPr>
            <w:tcW w:w="31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平方损失 DM（p）</w:t>
            </w:r>
          </w:p>
        </w:tc>
        <w:tc>
          <w:tcPr>
            <w:tcW w:w="31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绝对损失 DM（p）</w:t>
            </w:r>
          </w:p>
        </w:tc>
      </w:tr>
      <w:tr>
        <w:trPr>
          <w:cantSplit/>
          <w:jc w:val="center"/>
        </w:trPr>
        <w:tc>
          <w:tcPr>
            <w:tcW w:w="31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季节朴素 对 Naive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0.56 (0.577)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1.49 (0.136)</w:t>
            </w:r>
          </w:p>
        </w:tc>
      </w:tr>
      <w:tr>
        <w:trPr>
          <w:cantSplit/>
          <w:jc w:val="center"/>
        </w:trPr>
        <w:tc>
          <w:tcPr>
            <w:tcW w:w="31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ETS 对 Naive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−0.09 (0.926)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1.65 (0.100)</w:t>
            </w:r>
          </w:p>
        </w:tc>
      </w:tr>
      <w:tr>
        <w:trPr>
          <w:cantSplit/>
          <w:jc w:val="center"/>
        </w:trPr>
        <w:tc>
          <w:tcPr>
            <w:tcW w:w="31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SARIMA 对 Naive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−1.69 (0.093)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−1.85 (0.065)</w:t>
            </w:r>
          </w:p>
        </w:tc>
      </w:tr>
      <w:tr>
        <w:trPr>
          <w:cantSplit/>
          <w:jc w:val="center"/>
        </w:trPr>
        <w:tc>
          <w:tcPr>
            <w:tcW w:w="31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TSLM 对 Naive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0.60 (0.546)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2.99 (0.003)</w:t>
            </w:r>
          </w:p>
        </w:tc>
      </w:tr>
      <w:tr>
        <w:trPr>
          <w:cantSplit/>
          <w:jc w:val="center"/>
        </w:trPr>
        <w:tc>
          <w:tcPr>
            <w:tcW w:w="31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动态回归 对 Naive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−0.33 (0.744)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1.79 (0.075)</w:t>
            </w:r>
          </w:p>
        </w:tc>
      </w:tr>
      <w:tr>
        <w:trPr>
          <w:cantSplit/>
          <w:jc w:val="center"/>
        </w:trPr>
        <w:tc>
          <w:tcPr>
            <w:tcW w:w="31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XGBoost 对 Naive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−1.13 (0.260)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−0.17 (0.867)</w:t>
            </w:r>
          </w:p>
        </w:tc>
      </w:tr>
      <w:tr>
        <w:trPr>
          <w:cantSplit/>
          <w:jc w:val="center"/>
        </w:trPr>
        <w:tc>
          <w:tcPr>
            <w:tcW w:w="31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LSTM 对 Naive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−1.04 (0.298)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−0.47 (0.642)</w:t>
            </w:r>
          </w:p>
        </w:tc>
      </w:tr>
      <w:tr>
        <w:trPr>
          <w:cantSplit/>
          <w:jc w:val="center"/>
        </w:trPr>
        <w:tc>
          <w:tcPr>
            <w:tcW w:w="31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SARIMA 对 LSTM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−0.05 (0.963)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−0.93 (0.351)</w:t>
            </w:r>
          </w:p>
        </w:tc>
      </w:tr>
      <w:tr>
        <w:trPr>
          <w:cantSplit/>
          <w:jc w:val="center"/>
        </w:trPr>
        <w:tc>
          <w:tcPr>
            <w:tcW w:w="31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SARIMA 对 XGBoost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−1.51 (0.133)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−1.85 (0.065)</w:t>
            </w:r>
          </w:p>
        </w:tc>
      </w:tr>
      <w:tr>
        <w:trPr>
          <w:cantSplit/>
          <w:jc w:val="center"/>
        </w:trPr>
        <w:tc>
          <w:tcPr>
            <w:tcW w:w="31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LSTM 对 XGBoost</w:t>
            </w:r>
          </w:p>
        </w:tc>
        <w:tc>
          <w:tcPr>
            <w:tcW w:w="31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−0.70 (0.486)</w:t>
            </w:r>
          </w:p>
        </w:tc>
        <w:tc>
          <w:tcPr>
            <w:tcW w:w="31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−0.66 (0.508)</w:t>
            </w:r>
          </w:p>
        </w:tc>
      </w:tr>
    </w:tbl>
    <w:p w14:paraId="5B8975A9" w14:textId="77777777">
      <w:pPr>
        <w:pStyle w:val="TableNote"/>
        <w:keepNext w:val="0"/>
        <w:spacing w:before="60" w:after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 xml:space="preserve">注：单元格为统计量（双侧 p 值）；</w:t>
      </w: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 xml:space="preserve">负值表示前一个方法损失较小。Newey–West 长期方差使用 Bartlett 核、带宽7，双侧 t 检验自由度为 n−1（n=243）；p 值未做多重比较校正。资料来源：R 输出（DM_HAC 表）。</w:t>
      </w:r>
    </w:p>
    <w:p w14:paraId="0DC2FBC6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4.4 外部变量的作用</w:t>
      </w:r>
    </w:p>
    <w:p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本节在同一模型框架内逐步加入外部变量组（</w:t>
      </w:r>
      <w:hyperlink w:anchor="tbl_10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表10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），以回答第二个研究问题：M0为价格历史，M1—M4依次加入需求、备用与调频价格、燃料、温度与日历。分步结果取决于加入顺序，且每步单独估计，衡量的是这些预测设定之间的表现差异，而非各类变量独立、固定的贡献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价格历史模型与外部变量回归模型的跨模型 DM 比较见附录D；由于模型结构不同，那组比较不能单独识别外部变量的增益。</w:t>
      </w:r>
    </w:p>
    <w:p w14:paraId="16C78659" w14:textId="77777777">
      <w:pPr>
        <w:pStyle w:val="Caption"/>
        <w:keepNext/>
        <w:spacing w:before="240"/>
        <w:jc w:val="center"/>
      </w:pPr>
      <w:bookmarkStart w:id="7014" w:name="tbl_10"/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 xml:space="preserve">表10</w:t>
      </w:r>
      <w:bookmarkEnd w:id="7014"/>
    </w:p>
    <w:p w14:paraId="0BD2A9C3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 xml:space="preserve">同一模型分步加入外部变量的验证与测试误差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500"/>
        <w:gridCol w:w="800"/>
        <w:gridCol w:w="1193"/>
        <w:gridCol w:w="1193"/>
        <w:gridCol w:w="1193"/>
        <w:gridCol w:w="1193"/>
        <w:gridCol w:w="1193"/>
        <w:gridCol w:w="1193"/>
      </w:tblGrid>
      <w:tr>
        <w:trPr>
          <w:cantSplit/>
          <w:tblHeader/>
          <w:jc w:val="center"/>
        </w:trPr>
        <w:tc>
          <w:tcPr>
            <w:tcW w:w="15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模型</w:t>
            </w:r>
          </w:p>
        </w:tc>
        <w:tc>
          <w:tcPr>
            <w:tcW w:w="8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M步骤</w:t>
            </w:r>
          </w:p>
        </w:tc>
        <w:tc>
          <w:tcPr>
            <w:tcW w:w="1193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验证 RMSE</w:t>
            </w:r>
          </w:p>
        </w:tc>
        <w:tc>
          <w:tcPr>
            <w:tcW w:w="1193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验证 MAE</w:t>
            </w:r>
          </w:p>
        </w:tc>
        <w:tc>
          <w:tcPr>
            <w:tcW w:w="1193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测试 RMSE</w:t>
            </w:r>
          </w:p>
        </w:tc>
        <w:tc>
          <w:tcPr>
            <w:tcW w:w="1193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测试 MAE</w:t>
            </w:r>
          </w:p>
        </w:tc>
        <w:tc>
          <w:tcPr>
            <w:tcW w:w="1193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测试边际改善</w:t>
            </w:r>
          </w:p>
        </w:tc>
        <w:tc>
          <w:tcPr>
            <w:tcW w:w="1193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测试累计改善</w:t>
            </w:r>
          </w:p>
        </w:tc>
      </w:tr>
      <w:tr>
        <w:trPr>
          <w:cantSplit/>
          <w:jc w:val="center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动态回归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36.29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21.65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50.04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27.56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0.0%</w:t>
            </w:r>
          </w:p>
        </w:tc>
      </w:tr>
      <w:tr>
        <w:trPr>
          <w:cantSplit/>
          <w:jc w:val="center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动态回归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36.42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22.09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49.81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27.66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0.4%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0.4%</w:t>
            </w:r>
          </w:p>
        </w:tc>
      </w:tr>
      <w:tr>
        <w:trPr>
          <w:cantSplit/>
          <w:jc w:val="center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动态回归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37.31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23.30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55.53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33.12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−11.5%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−11.0%</w:t>
            </w:r>
          </w:p>
        </w:tc>
      </w:tr>
      <w:tr>
        <w:trPr>
          <w:cantSplit/>
          <w:jc w:val="center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动态回归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36.70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20.90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55.70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33.44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−0.3%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−11.3%</w:t>
            </w:r>
          </w:p>
        </w:tc>
      </w:tr>
      <w:tr>
        <w:trPr>
          <w:cantSplit/>
          <w:jc w:val="center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动态回归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41.62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28.87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56.97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37.40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−2.3%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−13.9%</w:t>
            </w:r>
          </w:p>
        </w:tc>
      </w:tr>
      <w:tr>
        <w:trPr>
          <w:cantSplit/>
          <w:jc w:val="center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XGBoost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35.60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20.79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52.18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32.13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0.0%</w:t>
            </w:r>
          </w:p>
        </w:tc>
      </w:tr>
      <w:tr>
        <w:trPr>
          <w:cantSplit/>
          <w:jc w:val="center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XGBoost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35.65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19.97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51.84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31.07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0.6%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0.6%</w:t>
            </w:r>
          </w:p>
        </w:tc>
      </w:tr>
      <w:tr>
        <w:trPr>
          <w:cantSplit/>
          <w:jc w:val="center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XGBoost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36.86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21.50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53.09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31.84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−2.4%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−1.8%</w:t>
            </w:r>
          </w:p>
        </w:tc>
      </w:tr>
      <w:tr>
        <w:trPr>
          <w:cantSplit/>
          <w:jc w:val="center"/>
        </w:trP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XGBoost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35.46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20.03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52.04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32.10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2.0%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0.3%</w:t>
            </w:r>
          </w:p>
        </w:tc>
      </w:tr>
      <w:tr>
        <w:trPr>
          <w:cantSplit/>
          <w:jc w:val="center"/>
        </w:trPr>
        <w:tc>
          <w:tcPr>
            <w:tcW w:w="15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XGBoost</w:t>
            </w:r>
          </w:p>
        </w:tc>
        <w:tc>
          <w:tcPr>
            <w:tcW w:w="8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35.23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19.57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53.02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31.24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−1.9%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−1.6%</w:t>
            </w:r>
          </w:p>
        </w:tc>
      </w:tr>
    </w:tbl>
    <w:p w14:paraId="17E3B69D" w14:textId="77777777">
      <w:pPr>
        <w:pStyle w:val="TableNote"/>
        <w:keepNext w:val="0"/>
        <w:spacing w:before="60" w:after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注：M0为价格历史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（动态回归另含验证期保留的 TPCRegime）</w:t>
      </w: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 xml:space="preserve">；M1加需求；M2加备用与调频；M3加燃料；M4加温度与日历。</w:t>
      </w: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 xml:space="preserve">XGBoost 每步在验证期独立调参后冻结，动态回归每步由 auto.arima() 在训练期选择误差结构（均为 ARIMA(1,0,0)）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 xml:space="preserve">；动态回归各步均含验证期保留的 TPCRegime；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 xml:space="preserve">改善率按测试期未四舍五入的 RMSE 计算，正值表示改善</w:t>
      </w: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 xml:space="preserve">R 输出（Incremental 表）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 xml:space="preserve">。</w:t>
      </w:r>
    </w:p>
    <w:p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结果需按模型和指标分别解读。加入需求（M1）后，XGBoost 的测试 RMSE 与 MAE 分别下降0.6%和3.3%；动态回归的测试 RMSE 下降0.4%，MAE 则由27.56略升至27.66。加入辅助服务价格（M2）后，动态回归与 XGBoost 的测试 RMSE 分别上升11.5%和2.4%。完整变量组（M4）相对 M0：动态回归的测试 RMSE 与 MAE 分别上升13.9%和35.7%，验证期分别上升14.7%和33.4%，且验证期误差主要在加入温度与日历时上升（RMSE 由36.70升至41.62）；XGBoost 的测试 RMSE 上升1.6%、MAE 下降2.8%，验证期 RMSE 与 MAE 则分别下降1.0%和5.8%。因此，按选型主指标 RMSE，完整变量组未改善两个模型的测试表现；按 MAE，XGBoost 有小幅改善。动态回归 M0、M1 的测试 RMSE（50.04、49.81）低于</w:t>
      </w:r>
      <w:hyperlink w:anchor="tbl_7a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表7a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中的 SARIMA（50.21），但 M0—M3 不在3.3节的推荐比较范围内。</w:t>
      </w:r>
    </w:p>
    <w:p w14:paraId="15E16B65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2026年主备用价格均值为18.7 SGD/MWh，远高于训练期的1.6；应急备用与调频价格在训练期的相关系数为0.85。这两点可能是 M2 恶化的原因，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下文探索性检验的结果与这一解释一致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。温度与日历同时加入，无法区分各自贡献。</w:t>
      </w:r>
    </w:p>
    <w:p w14:paraId="03E1CAAD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为检验辅助服务输入的尺度与相关性，对 M2—M4 尝试四种处理：主备用价格取 log(1+x) 或剔除，应急备用与调频价格二选一。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这四种处理是在看到</w:t>
      </w:r>
      <w:hyperlink w:anchor="tbl_10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表10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中测试期 M2 变差后才设计的，属于事后探索性检验。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四种组合与超参数一起按2025年验证 RMSE 选定后冻结，再滚动预测测试期，TPC 设定与</w:t>
      </w:r>
      <w:hyperlink w:anchor="tbl_10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表10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相同。动态回归与 XGBoost 的 M2、M3 均选中“剔除主备用、仅保留应急备用”；动态回归 M4 选中“主备用取 log(1+x)、保留调频”，XGBoost M4 选中“剔除主备用、仅保留调频”。</w:t>
      </w:r>
    </w:p>
    <w:p w14:paraId="10DFA72D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动态回归对这一处理敏感：测试 RMSE 在 M2 由55.53降至49.93（10.1%），M3 由55.70降至50.44（9.4%），M4 由56.97降至53.68（5.8%）。与原设定的 DM 检验在两种损失下均显著；对6次比较做 Holm 校正后，M2 与 M3 仍显著，M4 在平方误差下不显著（p=0.066）。修正后 M2 的 RMSE 与 M1（49.81）接近，结果与主备用价格尺度变化及辅助价格共线性的解释一致，但处理中同时涉及删除、变换和重新调参，无法分别识别。XGBoost 的测试 RMSE 变化在−0.7%至4.0%之间，DM 检验均不显著；树模型不受单调变换影响，对相关输入也较不敏感。</w:t>
      </w:r>
    </w:p>
    <w:p w14:paraId="63183330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若把原设定作为第五个选项，验证期只会在动态回归 M2、M3 与 XGBoost M2 采用修正方案；动态回归 M4 与 XGBoost M3、M4 原设定的验证 RMSE（41.62、35.46、35.23）低于所选修正方案（41.82、35.62、35.93），仍会保留原设定。因此本检验仅作稳健性分析，不改变3.5节冻结的设定和 XGBoost 的推荐；修正后的动态回归 M4（53.68）仍高于 SARIMA（50.21）。</w:t>
      </w:r>
    </w:p>
    <w:p w14:paraId="0828FF2E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4.5 模型推荐与解释范围</w:t>
      </w:r>
    </w:p>
    <w:p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按3.3节事先确定的规则，推荐 XGBoost：其验证 RMSE 为35.23，LSTM（35.92）与 SARIMA（36.16）均高出1%以上。验证期决定选型；测试期用于评价这一选择，统计检验说明比较结果的不确定性，两者都不改变选型。</w:t>
      </w:r>
    </w:p>
    <w:p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测试期评价中，SARIMA 的 RMSE 最低（50.21），LSTM 为50.40，XGBoost 为53.02。SARIMA 相对 XGBoost 的平方误差优势中，差距最大的10天贡献36%；剔除这10天后，两者 RMSE 为37.64和40.13，优势并非仅来自少数日期。考虑损失差自相关后，三者两两差异均不显著（</w:t>
      </w:r>
      <w:hyperlink w:anchor="tbl_9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表9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），但不显著不等于两者等效；按规则选出的 XGBoost 在测试期不如 SARIMA，是本研究选型结论的主要限制。</w:t>
      </w:r>
    </w:p>
    <w:p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两期排名不一致有三方面可能原因。第一，前三名差距小：验证 RMSE 相差不到3%，单一期间的排名本身噪声较大。第二，XGBoost 与 LSTM 各从12组候选中按验证 RMSE 选出，验证误差含选择带来的乐观偏差；ETS 与 SARIMA 的结构未经验证期挑选；动态回归是否保留 TPC 由验证期决定，也有一定的选择偏差。第三，两期价格环境不同：日均 USEP 由2025年的116.57升至2026年前八个月的197.10 SGD/MWh，标准差由42.41升至81.21。测试期价格最高的10%日子里，SARIMA、XGBoost 与 LSTM 平均低估79.9、89.5和100.3 SGD/MWh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。外部变量的作用在两期也不同：XGBoost 的外部变量在验证期降低了 RMSE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（M0 为35.60，M4 为35.23），测试期则 M0 的 RMSE（52.18）低于 M4（53.02）（</w:t>
      </w:r>
      <w:hyperlink w:anchor="tbl_10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表10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）。</w:t>
      </w:r>
    </w:p>
    <w:p w14:paraId="481E47A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实时应用需按 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EMC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和 MSS 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的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发布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时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间重新构造信息集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 (</w:t>
      </w:r>
      <w:hyperlink w:anchor="ref_EMCb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EMC n.d.b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;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 </w:t>
      </w:r>
      <w:hyperlink w:anchor="ref_MSS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MSS n.d.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)，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本研究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的信息集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限制见3.3节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。测试期仅覆盖2026年前八个月，且价格水平较2025年回升，结论适用于该窗口；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测试期各方法普遍低估，高价日低估更明显（</w:t>
      </w:r>
      <w:hyperlink w:anchor="tbl_8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表8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及上文）。</w:t>
      </w:r>
    </w:p>
    <w:p w14:paraId="4CAEF6B4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8"/>
          <w:szCs w:val="28"/>
        </w:rPr>
        <w:t>5 实际预测</w:t>
      </w:r>
    </w:p>
    <w:p w14:paraId="6F3B43F6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4"/>
          <w:szCs w:val="26"/>
        </w:rPr>
        <w:t>5.1 数据截止后的下一日预测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以 2026 年 8 月 31 日为截止日，使用最终历史记录及 3.5 节冻结设置，生成 9 月 1 日的一日超前预测。最终记录有发布延迟，本例未复现实时信息集。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各方法的点预测与经验区间见</w:t>
      </w:r>
      <w:hyperlink w:anchor="tbl_11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表11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。</w:t>
      </w:r>
    </w:p>
    <w:p w14:paraId="306E6182" w14:textId="77777777">
      <w:pPr>
        <w:pStyle w:val="Caption"/>
        <w:keepNext/>
        <w:spacing w:after="60" w:before="240"/>
        <w:jc w:val="center"/>
      </w:pPr>
      <w:bookmarkStart w:id="7015" w:name="tbl_11"/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 xml:space="preserve">表11</w:t>
      </w:r>
      <w:bookmarkEnd w:id="7015"/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2026年9月1日一日超前预测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358"/>
        <w:gridCol w:w="1300"/>
        <w:gridCol w:w="2900"/>
        <w:gridCol w:w="2900"/>
      </w:tblGrid>
      <w:tr>
        <w:trPr>
          <w:cantSplit/>
          <w:tblHeader/>
          <w:jc w:val="center"/>
        </w:trPr>
        <w:tc>
          <w:tcPr>
            <w:tcW w:w="23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方法</w:t>
            </w:r>
          </w:p>
        </w:tc>
        <w:tc>
          <w:tcPr>
            <w:tcW w:w="13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点预测</w:t>
            </w:r>
          </w:p>
        </w:tc>
        <w:tc>
          <w:tcPr>
            <w:tcW w:w="29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80% 区间</w:t>
            </w:r>
          </w:p>
        </w:tc>
        <w:tc>
          <w:tcPr>
            <w:tcW w:w="29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95% 区间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LSTM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374.85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326.87—422.84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236.46—513.25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季节朴素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352.84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284.70—420.97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194.85—510.82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XGBoost（推荐）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334.13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286.07—382.19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212.12—456.15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ETS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329.82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266.66—392.98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187.34—472.29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292.49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243.56—341.43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182.95—402.04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动态回归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289.99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231.33—348.65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143.13—436.86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TSLM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286.81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218.47—355.14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119.87—453.74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Naive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270.61</w:t>
            </w:r>
          </w:p>
        </w:tc>
        <w:tc>
          <w:tcPr>
            <w:tcW w:w="29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222.14—319.08</w:t>
            </w:r>
          </w:p>
        </w:tc>
        <w:tc>
          <w:tcPr>
            <w:tcW w:w="29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118.36—422.85</w:t>
            </w:r>
          </w:p>
        </w:tc>
      </w:tr>
    </w:tbl>
    <w:p w14:paraId="6BE2069A" w14:textId="77777777">
      <w:pPr>
        <w:pStyle w:val="TableNote"/>
        <w:keepNext w:val="0"/>
        <w:spacing w:before="60" w:after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注：单位为 SGD/MWh。经验区间取截至 8 月 31 日最近 180 条已实现的一步绝对误差，秩为 ⌈(n+1)(1−α)⌉，围绕点预测对称展开；n 为误差条数，α 为未覆盖概率。资料来源：R 输出（NextDay 表）。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以 XGBoost 为主：点预测 334.13，80% 区间 286.07—382.19，95% 区间 212.12—456.15 SGD/MWh。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这一区间构造规则在测试期的表现为：每天以当时最近不超过180条已实现误差构造一步区间，XGBoost 的80%与95%区间分别覆盖 66.7% 和 88.1% 的实际日价，低于名义水平。该覆盖率评价的是构造规则，而非9月1日区间本身；按同一规则构造的9月1日区间也可能偏窄。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其余模型作为对照，单日结果不能用来比较模型优劣。</w:t>
      </w:r>
    </w:p>
    <w:p w14:paraId="6F3B43F6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4"/>
          <w:szCs w:val="26"/>
        </w:rPr>
        <w:t>5.2 一个月预测</w:t>
      </w:r>
    </w:p>
    <w:p w14:paraId="4FAB15C6" w14:textId="77777777">
      <w:pPr>
        <w:pStyle w:val="Heading3"/>
        <w:jc w:val="both"/>
      </w:pPr>
      <w:r>
        <w:rPr>
          <w:color w:val="FF0000"/>
        </w:rPr>
        <w:t>5.2.1 方法</w:t>
      </w:r>
    </w:p>
    <w:p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月度展望与一日预测是不同的预测任务。一日预测每天加入新的观测后只预测下一天，滞后价格和外部变量随之更新；月度展望在同一截止日一次性预测未来30天，期间不再获得新的价格和外部变量。XGBoost 的输入为前一日的需求、辅助服务价格、燃料和温度，多步预测需要先假设这些输入的未来值，因此月度展望改用只依赖价格历史的模型。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SARIMA 沿用 3.5 节冻结设定，以 2021-01-01 至 2026-08-31 数据重估，预测未来 30 天；Naive 将 8 月 31 日价格延续，作为参照。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SARIMA 是依据 2025 年回测事后选取的示例：其在该年三个步长段中 RMSE 均低于 ETS，但选择时已看到两期回测结果，不能视为预先指定。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月度结果用于展示价格水平的可能范围与不确定性。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期限取一个月：月度展望可为按月安排的采购与对冲提供参考，而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回测误差和区间随步长扩大，更长期限的参考价值有限。</w:t>
      </w:r>
    </w:p>
    <w:p w14:paraId="4FAB15C6" w14:textId="77777777">
      <w:pPr>
        <w:pStyle w:val="Heading3"/>
        <w:jc w:val="both"/>
      </w:pPr>
      <w:r>
        <w:rPr>
          <w:color w:val="FF0000"/>
        </w:rPr>
        <w:t>5.2.2 回测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滚动起点每 7 天一个，2025 年有 48 条路径，2026 年有 31 条，每条预测 30 天 (</w:t>
      </w:r>
      <w:hyperlink w:anchor="ref_Hyndman2021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Hyndman and Athanasopoulos 2021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, chap. 5)。</w:t>
      </w:r>
      <w:hyperlink w:anchor="tbl_12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表12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仅比较步长段及整段均价；同一步长总落在同一星期几，且起点样本少，不解读单个步长。</w:t>
      </w:r>
    </w:p>
    <w:p w14:paraId="306E6182" w14:textId="77777777">
      <w:pPr>
        <w:pStyle w:val="Caption"/>
        <w:keepNext/>
        <w:spacing w:after="60" w:before="240"/>
        <w:jc w:val="center"/>
      </w:pPr>
      <w:bookmarkStart w:id="7016" w:name="tbl_12"/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 xml:space="preserve">表12</w:t>
      </w:r>
      <w:bookmarkEnd w:id="7016"/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不同步长段与30天均价的回测 RMSE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458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rPr>
          <w:cantSplit/>
          <w:tblHeader/>
          <w:jc w:val="center"/>
        </w:trPr>
        <w:tc>
          <w:tcPr>
            <w:tcW w:w="14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步长段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2025 Naive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2025 季节朴素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2025 SARIMA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2025 ETS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2026 Naive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2026 季节朴素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2026 SARIMA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2026 ETS</w:t>
            </w:r>
          </w:p>
        </w:tc>
      </w:tr>
      <w:tr>
        <w:trPr>
          <w:cantSplit/>
          <w:jc w:val="center"/>
        </w:trPr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1–7 天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48.9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52.8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38.1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42.9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35.9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43.8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35.6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38.8</w:t>
            </w:r>
          </w:p>
        </w:tc>
      </w:tr>
      <w:tr>
        <w:trPr>
          <w:cantSplit/>
          <w:jc w:val="center"/>
        </w:trPr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8–14 天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54.8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57.1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43.1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49.3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44.1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46.5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44.4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46.4</w:t>
            </w:r>
          </w:p>
        </w:tc>
      </w:tr>
      <w:tr>
        <w:trPr>
          <w:cantSplit/>
          <w:jc w:val="center"/>
        </w:trPr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15–30 天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65.6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64.7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47.8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59.9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59.5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63.4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66.8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62.4</w:t>
            </w:r>
          </w:p>
        </w:tc>
      </w:tr>
      <w:tr>
        <w:trPr>
          <w:cantSplit/>
          <w:jc w:val="center"/>
        </w:trPr>
        <w:tc>
          <w:tcPr>
            <w:tcW w:w="14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30 天均价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43.6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29.1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20.2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35.5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31.2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27.3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37.4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33.0</w:t>
            </w:r>
          </w:p>
        </w:tc>
      </w:tr>
    </w:tbl>
    <w:p w14:paraId="6BE2069A" w14:textId="77777777">
      <w:pPr>
        <w:pStyle w:val="TableNote"/>
        <w:keepNext w:val="0"/>
        <w:spacing w:before="60" w:after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注：单位为 SGD/MWh；均价误差按每条路径的 30 天实际均价减预测均价计算。资料来源：R 输出（Horizon_Backtest 表）。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2025 年 SARIMA 明显优于 Naive；2026 年第 1–14 天与 Naive 大致持平，第 15–30 天及 30 天均价则不如 Naive。2026 年 SARIMA 三段平均误差（实际−预测）依次为 +15.6、+25.2、+42.1 SGD/MWh，呈系统性低估，且偏差随步长扩大。2026 年 30 天均价的 RMSE 以季节朴素最低（27.3 SGD/MWh），SARIMA 不优于简单基准。</w:t>
      </w:r>
    </w:p>
    <w:p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2026 年各步长段覆盖的目标日期不同。回测起点为1月1日至7月30日：1–7 天段的目标日期止于8月5日，8月日期占2.3%；8–14 天段止于8月12日，占5.5%；15–30 天段止于8月28日，占10.7%，且同一日期最多计入3次。8月6—31日不在1–7 天段内，而这些日期占 SARIMA 一步测试平方误差的60.5%，因此该段 RMSE（35.6）低于一步测试 RMSE（50.21）。在相同目标日期上，SARIMA 一步预测的 RMSE 在三段分别为33.4、35.1和45.2。2026 年误差与偏差随步长扩大，既反映步长，也反映较长步长段包含更多8月高波动日期，</w:t>
      </w:r>
      <w:hyperlink w:anchor="tbl_12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表12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不能分离两者。</w:t>
      </w:r>
    </w:p>
    <w:p w14:paraId="4FAB15C6" w14:textId="77777777">
      <w:pPr>
        <w:pStyle w:val="Heading3"/>
        <w:jc w:val="both"/>
      </w:pPr>
      <w:r>
        <w:rPr>
          <w:color w:val="FF0000"/>
        </w:rPr>
        <w:t>5.2.3 区间校准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模型自带区间过宽，步长段回测覆盖率约为 98%–100%；新息方差受 2021–2023 年高波动期主导。改用与 5.1 节相同的绝对误差秩规则，按步长段分组构造对称经验区间；均价单独校准。</w:t>
      </w:r>
      <w:hyperlink w:anchor="tbl_13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表13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用 2025 年误差构造区间，在 2026 年检验覆盖率。</w:t>
      </w:r>
    </w:p>
    <w:p w14:paraId="306E6182" w14:textId="77777777">
      <w:pPr>
        <w:pStyle w:val="Caption"/>
        <w:keepNext/>
        <w:spacing w:after="60" w:before="240"/>
        <w:jc w:val="center"/>
      </w:pPr>
      <w:bookmarkStart w:id="7017" w:name="tbl_13"/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 xml:space="preserve">表13</w:t>
      </w:r>
      <w:bookmarkEnd w:id="7017"/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2025年误差校准区间在2026年的实际覆盖率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891"/>
        <w:gridCol w:w="1891"/>
        <w:gridCol w:w="1891"/>
        <w:gridCol w:w="1891"/>
        <w:gridCol w:w="1891"/>
      </w:tblGrid>
      <w:tr>
        <w:trPr>
          <w:cantSplit/>
          <w:tblHeader/>
          <w:jc w:val="center"/>
        </w:trPr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步长段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 80%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 95%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Naive 80%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Naive 95%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1–7 天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74.7%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91.2%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72.4%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99.5%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8–14 天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67.3%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89.4%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75.6%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99.5%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15–30 天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57.3%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85.7%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82.7%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97.2%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 天均价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48.4%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87.1%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90.3%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100.0%</w:t>
            </w:r>
          </w:p>
        </w:tc>
      </w:tr>
    </w:tbl>
    <w:p w14:paraId="6BE2069A" w14:textId="77777777">
      <w:pPr>
        <w:pStyle w:val="TableNote"/>
        <w:keepNext w:val="0"/>
        <w:spacing w:before="60" w:after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注：百分比为实际覆盖率，列标题百分比为名义水平。资料来源：R 输出（Horizon_Backtest 表）。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SARIMA 的覆盖不足随步长扩大而加重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，这同样受各步长段日期构成的影响（5.2.2节）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。最终区间只用 2026 年回测误差构造，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与 5.1 节使用较近已实现误差的做法一致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；这样构造的最终区间无法再做样本外检验。</w:t>
      </w:r>
      <w:hyperlink w:anchor="tbl_13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表13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评价的是用2025年误差构造区间的做法，其覆盖率不能直接视为</w:t>
      </w:r>
      <w:hyperlink w:anchor="tbl_14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表14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最终区间的覆盖率。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30 天均价只有 31 条误差，95% 半径等于其中最大绝对误差，估计较不稳定。</w:t>
      </w:r>
    </w:p>
    <w:p w14:paraId="4FAB15C6" w14:textId="77777777">
      <w:pPr>
        <w:pStyle w:val="Heading3"/>
        <w:jc w:val="both"/>
      </w:pPr>
      <w:r>
        <w:rPr>
          <w:color w:val="FF0000"/>
        </w:rPr>
        <w:t>5.2.4 预测结果</w:t>
      </w:r>
    </w:p>
    <w:p>
      <w:pPr>
        <w:keepNext/>
        <w:jc w:val="both"/>
      </w:pPr>
      <w:hyperlink w:anchor="tbl_14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表14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给出9月代表日期的 SARIMA 点预测与经验区间，以及9月月均价预测；完整路径见</w:t>
      </w:r>
      <w:hyperlink w:anchor="fig_4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图4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，逐日结果见附录E。</w:t>
      </w:r>
    </w:p>
    <w:p w14:paraId="306E6182" w14:textId="77777777">
      <w:pPr>
        <w:pStyle w:val="Caption"/>
        <w:keepNext/>
        <w:spacing w:after="60" w:before="240"/>
        <w:jc w:val="center"/>
      </w:pPr>
      <w:bookmarkStart w:id="7018" w:name="tbl_14"/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 xml:space="preserve">表14</w:t>
      </w:r>
      <w:bookmarkEnd w:id="7018"/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9月代表日期与月均价预测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558"/>
        <w:gridCol w:w="1300"/>
        <w:gridCol w:w="2800"/>
        <w:gridCol w:w="2800"/>
      </w:tblGrid>
      <w:tr>
        <w:trPr>
          <w:cantSplit/>
          <w:tblHeader/>
          <w:jc w:val="center"/>
        </w:trPr>
        <w:tc>
          <w:tcPr>
            <w:tcW w:w="25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对象</w:t>
            </w:r>
          </w:p>
        </w:tc>
        <w:tc>
          <w:tcPr>
            <w:tcW w:w="13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点预测</w:t>
            </w:r>
          </w:p>
        </w:tc>
        <w:tc>
          <w:tcPr>
            <w:tcW w:w="28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经验 80% 区间</w:t>
            </w:r>
          </w:p>
        </w:tc>
        <w:tc>
          <w:tcPr>
            <w:tcW w:w="28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经验 95% 区间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第 1 天（SARIMA）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292.5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258.8—326.2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217.9—367.1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第 7 天（SARIMA）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307.4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273.7—341.0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232.8—382.0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第 14 天（SARIMA）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286.3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238.4—334.2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197.1—375.5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第 30 天（SARIMA）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285.3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219.4—351.3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150.5—420.1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 月均价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291.7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242.6—340.8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194.3—389.2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Naive 月均价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270.6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235.3—305.9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177.9—363.3</w:t>
            </w:r>
          </w:p>
        </w:tc>
      </w:tr>
    </w:tbl>
    <w:p w14:paraId="6BE2069A" w14:textId="77777777">
      <w:pPr>
        <w:pStyle w:val="TableNote"/>
        <w:keepNext w:val="0"/>
        <w:spacing w:before="60" w:after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注：单位为 SGD/MWh；预测起点为 2026 年 8 月 31 日，月均价对应 9 月全部自然日；经验区间仅用 2026 年回测误差校准。资料来源：R 输出（Sept_Path、Sept_Mean 表）。</w:t>
      </w:r>
    </w:p>
    <w:p w14:paraId="02DDC4F8" w14:textId="77777777">
      <w:pPr>
        <w:keepNext/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24450" cy="2562225"/>
            <wp:docPr id="100003" name="Picture 1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eptember_path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256222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0DA055C" w14:textId="77777777">
      <w:pPr>
        <w:pStyle w:val="Caption"/>
        <w:keepNext w:val="0"/>
        <w:spacing w:after="240"/>
        <w:jc w:val="center"/>
      </w:pPr>
      <w:bookmarkStart w:id="7019" w:name="fig_4"/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rPr>
          <w:color w:val="FF0000"/>
        </w:rPr>
        <w:t>图4 2026年8月实际日价与9月 SARIMA 预测路径</w:t>
      </w:r>
      <w:bookmarkEnd w:id="7019"/>
    </w:p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 xml:space="preserve">注：单位为 SGD/MWh；预测起点为 2026 年 8 月 31 日，阴影为 80%/95% 经验区间，同时列示 Naive 参照线与 9 月 1 日 XGBoost 点预测。区间半径按步长段（1–7、8–14、15–30 天）取值，因此在第 8 天和第 15 天跳宽。资料来源：</w:t>
      </w:r>
      <w:hyperlink w:anchor="ref_EMCb" w:history="1">
        <w:r>
          <w:rPr>
            <w:rFonts w:ascii="Times New Roman" w:hAnsi="Times New Roman" w:eastAsia="Songti SC" w:cs="Times New Roman" w:csTheme="minorBidi"/>
            <w:color w:val="0563C1"/>
            <w:sz w:val="20"/>
            <w:szCs w:val="20"/>
          </w:rPr>
          <w:t xml:space="preserve">EMC (n.d.b)</w:t>
        </w:r>
      </w:hyperlink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 xml:space="preserve">，R 输出。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SARIMA 的月均价为 291.7，80% 区间为 242.6—340.8，95% 区间为 194.3—389.2 SGD/MWh；Naive 月均价为 270.6。两者相差约 21，小于各自区间半径，应解读为价格水平的范围。回测显示实际价格高于预测的风险大于低于预测的风险。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9 月 1 日 SARIMA 在5.1与5.2节的区间采用不同误差样本：</w:t>
      </w:r>
      <w:hyperlink w:anchor="tbl_11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表11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使用3月5日至8月31日最近180条一步误差，80%半径为48.9；</w:t>
      </w:r>
      <w:hyperlink w:anchor="tbl_14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表14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使用1–7 天段回测误差，其目标日期为1月1日至8月5日，80%半径为33.7。若只用1月1日至8月5日的一步误差，80%半径为29.5，可见两者差异主要来自误差样本的日期范围，而非步长。单看该日以</w:t>
      </w:r>
      <w:hyperlink w:anchor="tbl_11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表11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为准。</w:t>
      </w:r>
    </w:p>
    <w:p w14:paraId="4FAB15C6" w14:textId="77777777">
      <w:pPr>
        <w:pStyle w:val="Heading3"/>
        <w:jc w:val="both"/>
      </w:pPr>
      <w:r>
        <w:rPr>
          <w:color w:val="FF0000"/>
        </w:rPr>
        <w:t>5.2.5 局限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SARIMA 存在系统性低估，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且在较长步长段更明显，其中部分来自这些步长段包含更多8月日期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；对称区间未修正偏差。区间基于历史误差，无法预见价格水平突变。回测样本有限，重叠路径也并非相互独立，覆盖率不宜视为未来保证。8 月日价波动明显高于 2026 年前几个月，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而1–7 天段的回测误差不含8月6日以后的日期，其余步长段中8月日期的占比也较低，区间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可能低估近期的不确定性。</w:t>
      </w:r>
    </w:p>
    <w:p w14:paraId="5B0A2523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6 结论</w:t>
      </w:r>
    </w:p>
    <w:p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第一，一日超前预测中，测试 RMSE 以 SARIMA（50.21）、LSTM（50.40）与 XGBoost（53.02）最低。考虑损失差自相关后，没有模型在5%水平显著优于 Naive，前三名之间的差异也不显著；TSLM 在绝对损失下显著劣于 Naive。按3.3节的验证期规则推荐 XGBoost；测试期 SARIMA 的误差更低，说明选型结论存在不确定性。</w:t>
      </w:r>
    </w:p>
    <w:p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第二，外部变量的作用因模型和指标而异。加入需求后，XGBoost 的测试 RMSE 与 MAE 均小幅改善，动态回归只有 RMSE 小幅改善。完整变量组在两个模型中均未降低测试 RMSE；XGBoost 的测试 MAE 小幅改善，动态回归的 RMSE 与 MAE 在验证期和测试期均明显变差。辅助服务输入的探索性处理与尺度变化及共线性的解释一致，但不能分别识别删除、变换和重新调参的作用。以上结论限于本研究的两个模型框架、变量组合及测试窗口。</w:t>
      </w:r>
    </w:p>
    <w:p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第三，以2026年8月31日为截止日，XGBoost 对9月1日的点预测为334.13 SGD/MWh，80%区间为286.07—382.19；SARIMA 对9月月均价的预测为291.7 SGD/MWh，80%区间为242.6—340.8。测试期日价均值约为2025年的1.69倍，标准差约为1.91倍，各模型对高价日普遍低估，经验区间在测试期覆盖不足。2026年月度回测中 SARIMA 不优于简单基准且存在系统性低估，月度展望应作为价格水平范围的参考。</w:t>
      </w:r>
    </w:p>
    <w:p w14:paraId="10A6314C" w14:textId="77777777">
      <w:pPr>
        <w:pStyle w:val="Heading1"/>
        <w:pageBreakBefore/>
      </w:pPr>
      <w:r>
        <w:lastRenderedPageBreak/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参考文献</w:t>
      </w:r>
    </w:p>
    <w:p w14:paraId="52BDE92E" w14:textId="77777777">
      <w:pPr>
        <w:spacing w:after="0" w:line="300" w:lineRule="auto"/>
        <w:ind w:left="360" w:hanging="360"/>
        <w:jc w:val="left"/>
      </w:pPr>
      <w:bookmarkStart w:id="7020" w:name="ref_Ang2017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Ang, B. W., Wang, H., &amp; Ma, X. (2017). Climatic Influence on Electricity Consumption: The Case of Singapore and Hong Kong.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Energy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127, 534-543.</w:t>
      </w:r>
      <w:bookmarkEnd w:id="7020"/>
    </w:p>
    <w:p w14:paraId="5AA768DE" w14:textId="77777777">
      <w:pPr>
        <w:spacing w:after="0" w:line="300" w:lineRule="auto"/>
        <w:ind w:left="360" w:hanging="360"/>
        <w:jc w:val="left"/>
      </w:pPr>
      <w:bookmarkStart w:id="7021" w:name="ref_Athan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Athanasopoulos, G., &amp; Kuroptev, K. (n.d.). Diebold-Mariano Test for Predictive Accuracy. forecast Package Documentation. Available at </w:t>
      </w:r>
      <w:hyperlink r:id="rId12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https://pkg.robjhyndman.com/forecast/reference/dm.test.html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  <w:bookmarkEnd w:id="7021"/>
    </w:p>
    <w:p w14:paraId="636F00B6" w14:textId="77777777">
      <w:pPr>
        <w:spacing w:after="0" w:line="300" w:lineRule="auto"/>
        <w:ind w:left="360" w:hanging="360"/>
        <w:jc w:val="left"/>
      </w:pPr>
      <w:bookmarkStart w:id="7022" w:name="ref_Cai2025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Cai, J., Li, W., &amp; Wang, W. (2025). Electricity Market Predictability: Virtues of Machine Learning and Links to the Macroeconomy. arXiv Working Paper 2507.07477. Available at </w:t>
      </w:r>
      <w:hyperlink r:id="rId13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https://arxiv.org/abs/2507.07477v1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  <w:bookmarkEnd w:id="7022"/>
    </w:p>
    <w:p w14:paraId="347B2DD2" w14:textId="77777777">
      <w:pPr>
        <w:spacing w:after="0" w:line="300" w:lineRule="auto"/>
        <w:ind w:left="360" w:hanging="360"/>
        <w:jc w:val="left"/>
      </w:pPr>
      <w:bookmarkStart w:id="7023" w:name="ref_Chen2016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Chen, T., &amp; Guestrin, C. (2016). XGBoost: A Scalable Tree Boosting System. arXiv Working Paper 1603.02754. Available at </w:t>
      </w:r>
      <w:hyperlink r:id="rId14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https://arxiv.org/abs/1603.02754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  <w:bookmarkEnd w:id="7023"/>
    </w:p>
    <w:p w14:paraId="749993BF" w14:textId="77777777">
      <w:pPr>
        <w:spacing w:after="0" w:line="300" w:lineRule="auto"/>
        <w:ind w:left="360" w:hanging="360"/>
        <w:jc w:val="left"/>
      </w:pPr>
      <w:bookmarkStart w:id="7024" w:name="ref_Diebold1995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Diebold, F. X., &amp; Mariano, R. S. (1995). Comparing Predictive Accuracy.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Journal of Business &amp; Economic Statistics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13(3), 253-263.</w:t>
      </w:r>
      <w:bookmarkEnd w:id="7024"/>
    </w:p>
    <w:p w14:paraId="42C60B03" w14:textId="77777777">
      <w:pPr>
        <w:spacing w:after="0" w:line="300" w:lineRule="auto"/>
        <w:ind w:left="360" w:hanging="360"/>
        <w:jc w:val="left"/>
      </w:pPr>
      <w:bookmarkStart w:id="7025" w:name="ref_EMA2023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Authority (EMA). (2023). Introduction of the Temporary Price Cap. Available at </w:t>
      </w:r>
      <w:hyperlink r:id="rId16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https://www.ema.gov.sg/news-events/news/media-releases/2023/introduction-of-the-temporary-price-cap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  <w:bookmarkEnd w:id="7025"/>
    </w:p>
    <w:p w14:paraId="42A138E6" w14:textId="77777777">
      <w:pPr>
        <w:spacing w:after="0" w:line="300" w:lineRule="auto"/>
        <w:ind w:left="360" w:hanging="360"/>
        <w:jc w:val="left"/>
      </w:pPr>
      <w:bookmarkStart w:id="7026" w:name="ref_EMAa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Authority (EMA). (n.d.a). Singapore Energy Statistics: Chapter 2, Energy Transformation. Available at </w:t>
      </w:r>
      <w:hyperlink r:id="rId17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https://www.ema.gov.sg/resources/singapore-energy-statistics/chapter2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  <w:bookmarkEnd w:id="7026"/>
    </w:p>
    <w:p w14:paraId="3E109BFB" w14:textId="77777777">
      <w:pPr>
        <w:spacing w:after="0" w:line="300" w:lineRule="auto"/>
        <w:ind w:left="360" w:hanging="360"/>
        <w:jc w:val="left"/>
      </w:pPr>
      <w:bookmarkStart w:id="7027" w:name="ref_EMAb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Authority (EMA). (n.d.b). Singapore Energy Statistics: Chapter 5, Energy Prices. Available at </w:t>
      </w:r>
      <w:hyperlink r:id="rId18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https://www.ema.gov.sg/resources/singapore-energy-statistics/chapter5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  <w:bookmarkEnd w:id="7027"/>
    </w:p>
    <w:p w14:paraId="1E3CD084" w14:textId="77777777">
      <w:pPr>
        <w:spacing w:after="0" w:line="300" w:lineRule="auto"/>
        <w:ind w:left="360" w:hanging="360"/>
        <w:jc w:val="left"/>
      </w:pPr>
      <w:bookmarkStart w:id="7028" w:name="ref_EMAc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Authority (EMA). (n.d.c). What Is Affecting Energy Prices in Singapore? Available at </w:t>
      </w:r>
      <w:hyperlink r:id="rId19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https://www.ema.gov.sg/consumer-information/energy-prices-in-singapore-what-you-need-to-know/what-is-affecting-energy-prices-in-singapore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  <w:bookmarkEnd w:id="7028"/>
    </w:p>
    <w:p w14:paraId="1E1813C0" w14:textId="77777777">
      <w:pPr>
        <w:spacing w:after="0" w:line="300" w:lineRule="auto"/>
        <w:ind w:left="360" w:hanging="360"/>
        <w:jc w:val="left"/>
      </w:pPr>
      <w:bookmarkStart w:id="7029" w:name="ref_EMCa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Company (EMC). (n.d.a). Guide to Prices. Available at </w:t>
      </w:r>
      <w:hyperlink r:id="rId20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https://www.nems.emcsg.com/Guide-To-Prices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  <w:bookmarkEnd w:id="7029"/>
    </w:p>
    <w:p w14:paraId="1CBA5E48" w14:textId="77777777">
      <w:pPr>
        <w:spacing w:after="0" w:line="300" w:lineRule="auto"/>
        <w:ind w:left="360" w:hanging="360"/>
        <w:jc w:val="left"/>
      </w:pPr>
      <w:bookmarkStart w:id="7030" w:name="ref_EMCb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Company (EMC). (n.d.b). NEMS Prices. Available at </w:t>
      </w:r>
      <w:hyperlink r:id="rId21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https://www.nems.emcsg.com/nems-prices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  <w:bookmarkEnd w:id="7030"/>
    </w:p>
    <w:p w14:paraId="34BFA61B" w14:textId="77777777">
      <w:pPr>
        <w:spacing w:after="0" w:line="300" w:lineRule="auto"/>
        <w:ind w:left="360" w:hanging="360"/>
        <w:jc w:val="left"/>
      </w:pPr>
      <w:bookmarkStart w:id="7031" w:name="ref_Harvey1997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Harvey, D., Leybourne, S., &amp; Newbold, P. (1997). Testing the Equality of Prediction Mean Squared Errors.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International Journal of Forecasting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13(2), 281-291.</w:t>
      </w:r>
      <w:bookmarkEnd w:id="7031"/>
    </w:p>
    <w:p w14:paraId="37542B42" w14:textId="77777777">
      <w:pPr>
        <w:spacing w:after="0" w:line="300" w:lineRule="auto"/>
        <w:ind w:left="360" w:hanging="360"/>
        <w:jc w:val="left"/>
      </w:pPr>
      <w:bookmarkStart w:id="7032" w:name="ref_Hochreiter1997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Hochreiter, S., &amp; Schmidhuber, J. (1997). Long Short-Term Memory.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Neural Computation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9(8), 1735-1780.</w:t>
      </w:r>
      <w:bookmarkEnd w:id="7032"/>
    </w:p>
    <w:p w14:paraId="330C4776" w14:textId="77777777">
      <w:pPr>
        <w:spacing w:after="0" w:line="300" w:lineRule="auto"/>
        <w:ind w:left="360" w:hanging="360"/>
        <w:jc w:val="left"/>
      </w:pPr>
      <w:bookmarkStart w:id="7033" w:name="ref_Hyndman2021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Hyndman, R. J., &amp; Athanasopoulos, G. (2021). Forecasting: Principles and Practice (3rd ed.).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OTexts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. Available at </w:t>
      </w:r>
      <w:hyperlink r:id="rId24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https://otexts.com/fpp3/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  <w:bookmarkEnd w:id="7033"/>
    </w:p>
    <w:p w14:paraId="791E5474" w14:textId="77777777">
      <w:pPr>
        <w:spacing w:after="0" w:line="300" w:lineRule="auto"/>
        <w:ind w:left="360" w:hanging="360"/>
        <w:jc w:val="left"/>
      </w:pPr>
      <w:bookmarkStart w:id="7034" w:name="ref_Kwiatkowski1992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Kwiatkowski, D., Phillips, P. C. B., Schmidt, P., &amp; Shin, Y. (1992). Testing the Null Hypothesis of Stationarity against the Alternative of a Unit Root: How Sure Are We That Economic Time Series Have a Unit Root?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Journal of Econometrics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54(1-3), 159-178.</w:t>
      </w:r>
      <w:bookmarkEnd w:id="7034"/>
    </w:p>
    <w:p w14:paraId="1B9AD723" w14:textId="77777777">
      <w:pPr>
        <w:spacing w:after="0" w:line="300" w:lineRule="auto"/>
        <w:ind w:left="360" w:hanging="360"/>
        <w:jc w:val="left"/>
      </w:pPr>
      <w:bookmarkStart w:id="7035" w:name="ref_Ljung1978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Ljung, G. M., &amp; Box, G. E. P. (1978). On a Measure of Lack of Fit in Time Series Models.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Biometrika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65(2), 297-303.</w:t>
      </w:r>
      <w:bookmarkEnd w:id="7035"/>
    </w:p>
    <w:p w14:paraId="1E3C09E5" w14:textId="77777777">
      <w:pPr>
        <w:spacing w:after="0" w:line="300" w:lineRule="auto"/>
        <w:ind w:left="360" w:hanging="360"/>
        <w:jc w:val="left"/>
      </w:pPr>
      <w:bookmarkStart w:id="7036" w:name="ref_MSS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Meteorological Service Singapore (MSS). (n.d.). Historical Daily Records. Available at </w:t>
      </w:r>
      <w:hyperlink r:id="rId27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https://www.weather.gov.sg/climate-historical-daily/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  <w:bookmarkEnd w:id="7036"/>
    </w:p>
    <w:p w14:paraId="0054682B" w14:textId="77777777">
      <w:pPr>
        <w:spacing w:after="0" w:line="300" w:lineRule="auto"/>
        <w:ind w:left="360" w:hanging="360"/>
        <w:jc w:val="left"/>
      </w:pPr>
      <w:bookmarkStart w:id="7037" w:name="ref_MOM2023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Ministry of Manpower (MOM). (2023). Public Holiday on Polling Day: 1 September 2023. Available at </w:t>
      </w:r>
      <w:hyperlink r:id="rId28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https://www.mom.gov.sg/newsroom/press-releases/2023/0822-public-holiday-on-polling-day---1-sep-2023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  <w:bookmarkEnd w:id="7037"/>
    </w:p>
    <w:p w14:paraId="412CE228" w14:textId="77777777">
      <w:pPr>
        <w:spacing w:after="0" w:line="300" w:lineRule="auto"/>
        <w:ind w:left="360" w:hanging="360"/>
        <w:jc w:val="left"/>
      </w:pPr>
      <w:bookmarkStart w:id="7038" w:name="ref_MOM2025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Ministry of Manpower (MOM). (2025). Public Holiday on Polling Day: 3 May 2025. Available at </w:t>
      </w:r>
      <w:hyperlink r:id="rId29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https://www.mom.gov.sg/newsroom/press-releases/2025/0415-public-holiday-on-polling-day_3-may-2025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  <w:bookmarkEnd w:id="7038"/>
    </w:p>
    <w:p w14:paraId="71ECFCA2" w14:textId="77777777">
      <w:pPr>
        <w:spacing w:after="0" w:line="300" w:lineRule="auto"/>
        <w:ind w:left="360" w:hanging="360"/>
        <w:jc w:val="left"/>
      </w:pPr>
      <w:bookmarkStart w:id="7039" w:name="ref_MOMnd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Ministry of Manpower (MOM). (n.d.). Public Holidays. Available at </w:t>
      </w:r>
      <w:hyperlink r:id="rId30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https://www.mom.gov.sg/employment-practices/public-holidays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  <w:bookmarkEnd w:id="7039"/>
    </w:p>
    <w:p w14:paraId="2BA4D4DB" w14:textId="77777777">
      <w:pPr>
        <w:spacing w:after="0" w:line="300" w:lineRule="auto"/>
        <w:ind w:left="360" w:hanging="360"/>
        <w:jc w:val="left"/>
      </w:pPr>
      <w:bookmarkStart w:id="7040" w:name="ref_MTI2022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Ministry of Trade and Industry (MTI). (2022). Oral Reply to PQs on Temporary Electricity Contracting Support Scheme (TRECS). Available at </w:t>
      </w:r>
      <w:hyperlink r:id="rId31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https://www.meti.gov.sg/newsroom/oral-reply-to-pqs-on-temporary-electricity-contracting-support-scheme--trecs-/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  <w:bookmarkEnd w:id="7040"/>
    </w:p>
    <w:p w14:paraId="6D868EBA" w14:textId="77777777">
      <w:pPr>
        <w:spacing w:after="0" w:line="300" w:lineRule="auto"/>
        <w:ind w:left="360" w:hanging="360"/>
        <w:jc w:val="left"/>
      </w:pPr>
      <w:bookmarkStart w:id="7041" w:name="ref_MAS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Monetary Authority of Singapore (MAS). (n.d.). Exchange Rates. Available at </w:t>
      </w:r>
      <w:hyperlink r:id="rId32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https://eservices.mas.gov.sg/Statistics/msb/ExchangeRates.aspx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  <w:bookmarkEnd w:id="7041"/>
    </w:p>
    <w:p>
      <w:pPr>
        <w:spacing w:after="0" w:line="300" w:lineRule="auto"/>
        <w:ind w:left="360" w:hanging="360"/>
        <w:jc w:val="left"/>
      </w:pPr>
      <w:bookmarkStart w:id="7042" w:name="ref_Newey1987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Newey, W. K., &amp; West, K. D. (1987). A Simple, Positive Semi-Definite, Heteroskedasticity and Autocorrelation Consistent Covariance Matrix. </w:t>
      </w:r>
      <w:r>
        <w:rPr>
          <w:rFonts w:ascii="Times New Roman" w:hAnsi="Times New Roman" w:eastAsia="Songti SC" w:cs="Times New Roman" w:csTheme="minorBidi"/>
          <w:i/>
          <w:color w:val="000000"/>
          <w:sz w:val="24"/>
          <w:szCs w:val="22"/>
        </w:rPr>
        <w:t xml:space="preserve">Econometrica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, 55(3), 703-708.</w:t>
      </w:r>
      <w:bookmarkEnd w:id="7042"/>
    </w:p>
    <w:p w14:paraId="5E1E661C" w14:textId="77777777">
      <w:pPr>
        <w:spacing w:after="0" w:line="300" w:lineRule="auto"/>
        <w:ind w:left="360" w:hanging="360"/>
        <w:jc w:val="left"/>
      </w:pPr>
      <w:bookmarkStart w:id="7043" w:name="ref_Sai2023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Sai, W., Pan, Z., Liu, S., Jiao, Z., Zhong, Z., Miao, B., &amp; Chan, S. H. (2023). Event-Driven Forecasting of Wholesale Electricity Price and Frequency Regulation Price Using Machine Learning Algorithms.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Applied Energy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352, 121989.</w:t>
      </w:r>
      <w:bookmarkEnd w:id="7043"/>
    </w:p>
    <w:p w14:paraId="4F4039A1" w14:textId="77777777">
      <w:pPr>
        <w:spacing w:after="0" w:line="300" w:lineRule="auto"/>
        <w:ind w:left="360" w:hanging="360"/>
        <w:jc w:val="left"/>
      </w:pPr>
      <w:bookmarkStart w:id="7044" w:name="ref_Said1984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Said, S. E., &amp; Dickey, D. A. (1984). Testing for Unit Roots in Autoregressive-Moving Average Models of Unknown Order.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Biometrika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71(3), 599-607.</w:t>
      </w:r>
      <w:bookmarkEnd w:id="7044"/>
    </w:p>
    <w:p w14:paraId="6DEFC02F" w14:textId="77777777">
      <w:pPr>
        <w:spacing w:after="0" w:line="300" w:lineRule="auto"/>
        <w:ind w:left="360" w:hanging="360"/>
        <w:jc w:val="left"/>
      </w:pPr>
      <w:bookmarkStart w:id="7045" w:name="ref_Trapletti2026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Trapletti, A., &amp; Hornik, K. (2026). tseries: Time Series Analysis and Computational Finance. Available at </w:t>
      </w:r>
      <w:hyperlink r:id="rId35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https://cran.r-project.org/web/packages/tseries/tseries.pdf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  <w:bookmarkEnd w:id="7045"/>
    </w:p>
    <w:p w14:paraId="21ACBE17" w14:textId="77777777">
      <w:pPr>
        <w:spacing w:after="0" w:line="300" w:lineRule="auto"/>
        <w:ind w:left="360" w:hanging="360"/>
        <w:jc w:val="left"/>
      </w:pPr>
      <w:bookmarkStart w:id="7046" w:name="ref_EIA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U.S. Energy Information Administration (EIA). (n.d.). Europe Brent Spot Price FOB (Dollars per Barrel). Available at </w:t>
      </w:r>
      <w:hyperlink r:id="rId36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https://www.eia.gov/dnav/pet/hist/RBRTED.htm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  <w:bookmarkEnd w:id="7046"/>
    </w:p>
    <w:p w14:paraId="7B054B4C" w14:textId="77777777">
      <w:pPr>
        <w:spacing w:after="0" w:line="300" w:lineRule="auto"/>
        <w:ind w:left="360" w:hanging="360"/>
        <w:jc w:val="left"/>
      </w:pPr>
      <w:bookmarkStart w:id="7047" w:name="ref_Weron2014"/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Weron, R. (2014). Electricity Price Forecasting: A Review of the State-of-the-Art with a Look into the Future.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International Journal of Forecasting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30(4), 1030-1081.</w:t>
      </w:r>
      <w:bookmarkEnd w:id="7047"/>
    </w:p>
    <w:p w14:paraId="29BD1079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附录</w:t>
      </w: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8"/>
          <w:szCs w:val="28"/>
        </w:rPr>
        <w:t>A</w:t>
      </w: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 xml:space="preserve"> 温度站点补值</w:t>
      </w:r>
    </w:p>
    <w:p w14:paraId="552DAB5A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五站原始均值有174天因至少一站缺测而无法计算。Changi 全期完整，其余四站分别缺测30、31、76和50天，最长连续缺口36天。缺值在站点层面重建后再取五站均值，保留实测值。</w:t>
      </w:r>
    </w:p>
    <w:p w14:paraId="54137AC7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各站 Ridge 模型预测相对 Changi 的温差，输入为其他站温差与月份正余弦项；缺失输入由当前训练历史中位数填补。正则化仅在2021—2024年三个时间段内，以7天和36天遮蔽验证选择；验证及测试每周扩展拟合时仅使用此前数据。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各站选定的正则化参数与重建误差见</w:t>
      </w:r>
      <w:hyperlink w:anchor="tbl_A1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表A1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。</w:t>
      </w:r>
    </w:p>
    <w:p w14:paraId="0A5A1164" w14:textId="77777777">
      <w:pPr>
        <w:pStyle w:val="Caption"/>
        <w:keepNext/>
        <w:spacing w:before="240"/>
        <w:jc w:val="center"/>
      </w:pPr>
      <w:bookmarkStart w:id="7048" w:name="tbl_A1"/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</w:t>
      </w: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A</w:t>
      </w: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1</w:t>
      </w:r>
      <w:bookmarkEnd w:id="7048"/>
    </w:p>
    <w:p w14:paraId="4772236F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温度站点重建误差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837"/>
        <w:gridCol w:w="1230"/>
        <w:gridCol w:w="1797"/>
        <w:gridCol w:w="1797"/>
        <w:gridCol w:w="1797"/>
      </w:tblGrid>
      <w:tr>
        <w:trPr>
          <w:cantSplit/>
          <w:tblHeader/>
          <w:jc w:val="center"/>
        </w:trPr>
        <w:tc>
          <w:tcPr>
            <w:tcW w:w="283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59EECA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站点</w:t>
            </w:r>
          </w:p>
        </w:tc>
        <w:tc>
          <w:tcPr>
            <w:tcW w:w="123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2A7D7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λ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1C466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遮蔽次数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C4AC4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MAE ℃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125D7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RMSE ℃</w:t>
            </w:r>
          </w:p>
        </w:tc>
      </w:tr>
      <w:tr>
        <w:trPr>
          <w:cantSplit/>
          <w:jc w:val="center"/>
        </w:trPr>
        <w:tc>
          <w:tcPr>
            <w:tcW w:w="283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7DFD4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Admiralty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6B63B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DE31A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129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23FEB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F019B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0.20</w:t>
            </w:r>
          </w:p>
        </w:tc>
      </w:tr>
      <w:tr>
        <w:trPr>
          <w:cantSplit/>
          <w:jc w:val="center"/>
        </w:trPr>
        <w:tc>
          <w:tcPr>
            <w:tcW w:w="283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B6CAF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Ang_Mo_Kio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9437D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0.10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2E5CF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129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B0416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C8BFB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0.21</w:t>
            </w:r>
          </w:p>
        </w:tc>
      </w:tr>
      <w:tr>
        <w:trPr>
          <w:cantSplit/>
          <w:jc w:val="center"/>
        </w:trPr>
        <w:tc>
          <w:tcPr>
            <w:tcW w:w="283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5B109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Jurong_West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979DA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0.10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892AF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126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41871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0.36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E85CE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0.46</w:t>
            </w:r>
          </w:p>
        </w:tc>
      </w:tr>
      <w:tr>
        <w:trPr>
          <w:cantSplit/>
          <w:jc w:val="center"/>
        </w:trPr>
        <w:tc>
          <w:tcPr>
            <w:tcW w:w="283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D93CC5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Sentosa_Island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FD18B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9AB46A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113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C26AC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0.38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86522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0.49</w:t>
            </w:r>
          </w:p>
        </w:tc>
      </w:tr>
    </w:tbl>
    <w:p w14:paraId="61D67095" w14:textId="77777777">
      <w:pPr>
        <w:pStyle w:val="TableNote"/>
        <w:keepNext w:val="0"/>
        <w:spacing w:before="60" w:after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 xml:space="preserve">注：遮蔽次数为评价次数，重叠日期可重复参与评价。资料来源：Meteorological Service Singapore (</w:t>
      </w:r>
      <w:hyperlink w:anchor="ref_MSS" w:history="1">
        <w:r>
          <w:rPr>
            <w:rFonts w:ascii="Times New Roman" w:hAnsi="Times New Roman" w:eastAsia="Songti SC" w:cs="Times New Roman" w:csTheme="minorBidi"/>
            <w:color w:val="0563C1"/>
            <w:sz w:val="20"/>
            <w:szCs w:val="20"/>
          </w:rPr>
          <w:t xml:space="preserve">MSS n.d.</w:t>
        </w:r>
      </w:hyperlink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 xml:space="preserve">)，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计算结果。</w:t>
      </w:r>
    </w:p>
    <w:p w14:paraId="56D6107A"/>
    <w:p w14:paraId="4CAEF6B4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8"/>
          <w:szCs w:val="28"/>
        </w:rPr>
        <w:t>附录B 复现说明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以下结果均由 R 重跑得到（2026年10月11日；R 4.6.1，forecast 9.0.2，tseries 0.10-63）。季节朴素、ETS、SARIMA、TSLM 与动态回归按3.5节的课程方法重新选型和预测；XGBoost 的缓存预测已用提交的代码重跑核实，结果完全一致；LSTM 的预测来自此前一次运行，模型代码相同，但因 TensorFlow 版本和硬件不同，重跑可能有小幅差异。</w:t>
      </w:r>
    </w:p>
    <w:p w14:paraId="4FAB15C6" w14:textId="77777777">
      <w:pPr>
        <w:jc w:val="both"/>
      </w:pPr>
      <w:hyperlink w:anchor="tbl_5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表5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使用 R 中 tseries::adf.test 与 kpss.test。软件版本为 R 4.6.1、forecast 9.0.2 与 tseries 0.10-63，以最新渲染末尾的 sessionInfo() 为准。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默认模式 run_models: false 读取已保存的一日预测和辅助服务稳健性结果，并重新生成统计检验、图表、九月路径与回测；它不重新训练 XGBoost 或 LSTM。完整模型运行使用 run_models: true。DM_HAC 与 Candidates 均由默认渲染导出；Candidates 保留代码实际抽样顺序。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报告中的模型结果取自 output/report_tables.xlsx。</w:t>
      </w:r>
    </w:p>
    <w:p w14:paraId="4CAEF6B4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8"/>
          <w:szCs w:val="28"/>
        </w:rPr>
        <w:t>附录C 实际抽中的调参组合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固定种子为 2026；XGBoost 从 96 种组合中抽取 12 组，LSTM 从 24 种组合中抽取 12 组。两次抽样依次执行且不重置种子，</w:t>
      </w:r>
      <w:hyperlink w:anchor="tbl_C1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表C1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与</w:t>
      </w:r>
      <w:hyperlink w:anchor="tbl_C2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表C2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按抽样顺序列出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；空缺参数不适用于该模型。</w:t>
      </w:r>
    </w:p>
    <w:p w14:paraId="306E6182" w14:textId="77777777">
      <w:pPr>
        <w:pStyle w:val="Caption"/>
        <w:keepNext/>
        <w:spacing w:after="60" w:before="240"/>
        <w:jc w:val="center"/>
      </w:pPr>
      <w:bookmarkStart w:id="7049" w:name="tbl_C1"/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表C1</w:t>
      </w:r>
      <w:bookmarkEnd w:id="7049"/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XGBoost 实际抽中的候选组合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658"/>
        <w:gridCol w:w="1100"/>
        <w:gridCol w:w="1300"/>
        <w:gridCol w:w="2400"/>
        <w:gridCol w:w="1400"/>
        <w:gridCol w:w="1400"/>
        <w:gridCol w:w="1200"/>
      </w:tblGrid>
      <w:tr>
        <w:trPr>
          <w:cantSplit/>
          <w:tblHeader/>
          <w:jc w:val="center"/>
        </w:trPr>
        <w:tc>
          <w:tcPr>
            <w:tcW w:w="6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顺序</w:t>
            </w:r>
          </w:p>
        </w:tc>
        <w:tc>
          <w:tcPr>
            <w:tcW w:w="11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树深</w:t>
            </w:r>
          </w:p>
        </w:tc>
        <w:tc>
          <w:tcPr>
            <w:tcW w:w="13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学习率</w:t>
            </w:r>
          </w:p>
        </w:tc>
        <w:tc>
          <w:tcPr>
            <w:tcW w:w="24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最小子节点权重</w:t>
            </w:r>
          </w:p>
        </w:tc>
        <w:tc>
          <w:tcPr>
            <w:tcW w:w="14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行抽样</w:t>
            </w:r>
          </w:p>
        </w:tc>
        <w:tc>
          <w:tcPr>
            <w:tcW w:w="14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列抽样</w:t>
            </w:r>
          </w:p>
        </w:tc>
        <w:tc>
          <w:tcPr>
            <w:tcW w:w="12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λ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0.1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0.8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6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0.1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0.1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0.8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0.8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10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0.1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0.8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0.8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</w:tr>
      <w:tr>
        <w:trPr>
          <w:cantSplit/>
          <w:jc w:val="center"/>
        </w:trPr>
        <w:tc>
          <w:tcPr>
            <w:tcW w:w="6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12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0.8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</w:t>
            </w:r>
          </w:p>
        </w:tc>
      </w:tr>
    </w:tbl>
    <w:p w14:paraId="6BE2069A" w14:textId="77777777">
      <w:pPr>
        <w:pStyle w:val="TableNote"/>
        <w:keepNext w:val="0"/>
        <w:spacing w:before="60" w:after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注：按代码实际抽样顺序列示。资料来源：R 输出（Candidates 表）。</w:t>
      </w:r>
    </w:p>
    <w:p>
      <w:pPr>
        <w:keepNext/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LSTM 的12组候选沿同一随机数序列继续抽取，见</w:t>
      </w:r>
      <w:hyperlink w:anchor="tbl_C2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表C2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。</w:t>
      </w:r>
    </w:p>
    <w:p w14:paraId="306E6182" w14:textId="77777777">
      <w:pPr>
        <w:pStyle w:val="Caption"/>
        <w:keepNext/>
        <w:spacing w:after="60" w:before="240"/>
        <w:jc w:val="center"/>
      </w:pPr>
      <w:bookmarkStart w:id="7050" w:name="tbl_C2"/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表C2</w:t>
      </w:r>
      <w:bookmarkEnd w:id="7050"/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LSTM 实际抽中的候选组合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891"/>
        <w:gridCol w:w="1891"/>
        <w:gridCol w:w="1891"/>
        <w:gridCol w:w="1891"/>
        <w:gridCol w:w="1891"/>
      </w:tblGrid>
      <w:tr>
        <w:trPr>
          <w:cantSplit/>
          <w:tblHeader/>
          <w:jc w:val="center"/>
        </w:trPr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顺序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序列长度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隐藏单元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dropout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学习率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14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16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0.1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0.0005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14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0.1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0.0005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0.001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4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0.001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0.1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0.0005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6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14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16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0.1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0.001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14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0.1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0.001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0.0005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14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16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0.001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10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14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16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0.2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0.0005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11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16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0.1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0.001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12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14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32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0.2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0.0005</w:t>
            </w:r>
          </w:p>
        </w:tc>
      </w:tr>
    </w:tbl>
    <w:p w14:paraId="6BE2069A" w14:textId="77777777">
      <w:pPr>
        <w:pStyle w:val="TableNote"/>
        <w:keepNext w:val="0"/>
        <w:spacing w:before="60" w:after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注：按代码实际抽样顺序列示；候选组合在验证期比较后冻结。资料来源：R 输出（Candidates 表）。</w:t>
      </w:r>
    </w:p>
    <w:p w14:paraId="4CAEF6B4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8"/>
          <w:szCs w:val="28"/>
        </w:rPr>
        <w:t xml:space="preserve">附录D </w:t>
      </w: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8"/>
          <w:szCs w:val="28"/>
        </w:rPr>
        <w:t xml:space="preserve">DM 检验补充结果</w:t>
      </w:r>
    </w:p>
    <w:p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原始 DM 检验使用 forecast::dm.test 的 Harvey–Leybourne–Newbold 小样本修正，未考虑损失差的自相关。</w:t>
      </w:r>
      <w:hyperlink w:anchor="tbl_D1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表D1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列出其验证期与测试期结果：各方法对 Naive 及测试 RMSE 前三名两两比较的40个 p 值统一做 Holm 校正；价格历史模型与外部变量回归模型的比较为补充比较，未做多重比较校正。</w:t>
      </w:r>
    </w:p>
    <w:p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按未校正 p 值，测试期仅 SARIMA 在5%水平显著优于 Naive（平方损失 p=0.039，绝对损失 p=0.023），季节朴素、TSLM 与动态回归在绝对损失下显著劣于 Naive；前三名之间，SARIMA 在测试期绝对损失下优于 XGBoost（p=0.036），在验证期绝对损失下优于 LSTM（p=0.002）和 XGBoost（p=0.044）。经 Holm 校正后，仅 TSLM 劣于 Naive（验证期与测试期绝对损失）和动态回归劣于 Naive（验证期绝对损失）仍显著。SARIMA 在两个期间、两种损失下均显著优于 TSLM 与动态回归；ETS 在绝对损失下优于 TSLM，测试期与动态回归无显著差异。</w:t>
      </w:r>
    </w:p>
    <w:p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对测试期28项损失差检验，14阶 Ljung–Box 在5%水平下有26项拒绝无自相关，因此正文改用 Newey–West 方差（</w:t>
      </w:r>
      <w:hyperlink w:anchor="tbl_9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表9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）；计算方法见下文，逐项比较见</w:t>
      </w:r>
      <w:hyperlink w:anchor="tbl_D2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表D2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—</w:t>
      </w:r>
      <w:hyperlink w:anchor="tbl_D4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D4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。</w:t>
      </w:r>
    </w:p>
    <w:p>
      <w:pPr>
        <w:pStyle w:val="Caption"/>
        <w:keepNext/>
        <w:spacing w:before="240"/>
        <w:jc w:val="center"/>
      </w:pPr>
      <w:bookmarkStart w:id="7051" w:name="tbl_D1"/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 xml:space="preserve">表D1</w:t>
      </w:r>
      <w:bookmarkEnd w:id="7051"/>
    </w:p>
    <w:p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 xml:space="preserve">原始 DM 检验与 Holm 校正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500"/>
        <w:gridCol w:w="1000"/>
        <w:gridCol w:w="1700"/>
        <w:gridCol w:w="1700"/>
        <w:gridCol w:w="1279"/>
        <w:gridCol w:w="1279"/>
      </w:tblGrid>
      <w:tr>
        <w:trPr>
          <w:cantSplit/>
          <w:tblHeader/>
          <w:jc w:val="center"/>
        </w:trPr>
        <w:tc>
          <w:tcPr>
            <w:tcW w:w="25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比较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损失</w:t>
            </w:r>
          </w:p>
        </w:tc>
        <w:tc>
          <w:tcPr>
            <w:tcW w:w="17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验证 DM（p）</w:t>
            </w:r>
          </w:p>
        </w:tc>
        <w:tc>
          <w:tcPr>
            <w:tcW w:w="17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测试 DM（p）</w:t>
            </w:r>
          </w:p>
        </w:tc>
        <w:tc>
          <w:tcPr>
            <w:tcW w:w="1279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验证 Holm p</w:t>
            </w:r>
          </w:p>
        </w:tc>
        <w:tc>
          <w:tcPr>
            <w:tcW w:w="1279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测试 Holm p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季节朴素 对 Naive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平方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1.28 (0.203)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0.70 (0.486)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季节朴素 对 Naive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绝对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2.97 (0.003)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2.00 (0.046)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0.114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ETS 对 Naive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平方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−0.70 (0.485)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−0.11 (0.916)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ETS 对 Naive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绝对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2.61 (0.009)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1.53 (0.127)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0.327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SARIMA 对 Naive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平方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−1.50 (0.134)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−2.08 (0.039)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SARIMA 对 Naive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绝对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−1.60 (0.110)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−2.29 (0.023)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0.746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TSLM 对 Naive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平方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0.20 (0.838)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0.88 (0.381)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TSLM 对 Naive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绝对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5.32 (&lt;0.001)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4.06 (&lt;0.001)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&lt;0.001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0.003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动态回归 对 Naive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平方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−0.09 (0.932)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−0.49 (0.624)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动态回归 对 Naive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绝对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6.28 (&lt;0.001)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2.45 (0.015)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&lt;0.001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0.507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XGBoost 对 Naive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平方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−1.75 (0.081)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−1.66 (0.098)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XGBoost 对 Naive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绝对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−0.16 (0.872)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−0.24 (0.810)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LSTM 对 Naive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平方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−1.42 (0.156)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−1.47 (0.143)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LSTM 对 Naive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绝对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0.90 (0.370)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−0.63 (0.527)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SARIMA 对 LSTM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平方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0.15 (0.880)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−0.06 (0.949)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SARIMA 对 LSTM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绝对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−3.15 (0.002)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−1.24 (0.215)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0.066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SARIMA 对 XGBoost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平方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0.49 (0.627)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−1.10 (0.274)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SARIMA 对 XGBoost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绝对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−2.02 (0.044)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−2.11 (0.036)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LSTM 对 XGBoost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平方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0.61 (0.543)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−0.72 (0.472)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LSTM 对 XGBoost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绝对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1.67 (0.096)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−0.64 (0.520)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1.000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SARIMA 对 TSLM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平方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−4.15 (&lt;0.001)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−4.70 (&lt;0.001)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SARIMA 对 TSLM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绝对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−7.82 (&lt;0.001)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−7.39 (&lt;0.001)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SARIMA 对 动态回归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平方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−2.99 (0.003)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−2.93 (0.004)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SARIMA 对 动态回归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绝对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−8.92 (&lt;0.001)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−5.45 (&lt;0.001)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ETS 对 TSLM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平方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−1.13 (0.261)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−1.22 (0.223)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ETS 对 TSLM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绝对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−4.36 (&lt;0.001)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−3.12 (0.002)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ETS 对 动态回归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平方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−0.62 (0.536)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0.47 (0.638)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rPr>
          <w:cantSplit/>
          <w:jc w:val="center"/>
        </w:trPr>
        <w:tc>
          <w:tcPr>
            <w:tcW w:w="25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ETS 对 动态回归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绝对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−5.43 (&lt;0.001)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−1.15 (0.252)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 xml:space="preserve">—</w:t>
            </w:r>
          </w:p>
        </w:tc>
      </w:tr>
    </w:tbl>
    <w:p>
      <w:pPr>
        <w:pStyle w:val="TableNote"/>
        <w:keepNext w:val="0"/>
        <w:spacing w:before="60" w:after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 xml:space="preserve">注：单元格为统计量（双侧、未校正 p 值）；负值表示前一个方法损失较小；“—”表示不在 Holm 校正范围内。资料来源：R 输出（DM_vs_Naive、DM_Top3、DM_External、DM_Holm 表）。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对测试期每组模型比较分别构造平方损失与绝对损失之差 dₜ＝|eₐ,ₜ|ᵖ−|eᵦ,ₜ|ᵖ，负值表示前一个模型损失较小。先以14阶 Ljung–Box 检验损失差自相关，再用 Newey–West 长期方差计算 DM；这里检验的是损失差，而非单个模型误差。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以去均值损失差计算样本自协方差 γ̂ₖ（分母为 n），长期方差 Ŝ＝γ̂₀＋2∑ₖ₌₁⁷(1−k/8)γ̂ₖ；DM＝d̄/√(Ŝ/n)，双侧 p 值使用自由度 n−1 的 t 分布。HAC 统计量不另乘 Harvey–Leybourne–Newbold 因子；原 DM 列保留原检验的小样本修正。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以下 p 值均未做多重比较校正。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各方法对 Naive 的比较见</w:t>
      </w:r>
      <w:hyperlink w:anchor="tbl_D2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表D2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。</w:t>
      </w:r>
    </w:p>
    <w:p w14:paraId="306E6182" w14:textId="77777777">
      <w:pPr>
        <w:pStyle w:val="Caption"/>
        <w:keepNext/>
        <w:spacing w:after="60" w:before="240"/>
        <w:jc w:val="center"/>
      </w:pPr>
      <w:bookmarkStart w:id="7052" w:name="tbl_D2"/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 xml:space="preserve">表D2</w:t>
      </w:r>
      <w:bookmarkEnd w:id="7052"/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 xml:space="preserve">各方法对 Naive 的测试期 DM 稳健性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858"/>
        <w:gridCol w:w="700"/>
        <w:gridCol w:w="1000"/>
        <w:gridCol w:w="1150"/>
        <w:gridCol w:w="1000"/>
        <w:gridCol w:w="1300"/>
        <w:gridCol w:w="1450"/>
      </w:tblGrid>
      <w:tr>
        <w:trPr>
          <w:cantSplit/>
          <w:tblHeader/>
          <w:jc w:val="center"/>
        </w:trPr>
        <w:tc>
          <w:tcPr>
            <w:tcW w:w="28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比较</w:t>
            </w:r>
          </w:p>
        </w:tc>
        <w:tc>
          <w:tcPr>
            <w:tcW w:w="7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损失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LB p</w:t>
            </w:r>
          </w:p>
        </w:tc>
        <w:tc>
          <w:tcPr>
            <w:tcW w:w="11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原 DM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原 p</w:t>
            </w:r>
          </w:p>
        </w:tc>
        <w:tc>
          <w:tcPr>
            <w:tcW w:w="13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HAC DM</w:t>
            </w:r>
          </w:p>
        </w:tc>
        <w:tc>
          <w:tcPr>
            <w:tcW w:w="14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HAC p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季节朴素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0.70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0.486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0.56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0.577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季节朴素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2.00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0.046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1.49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0.136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ETS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-0.11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0.916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-0.09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0.926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ETS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1.53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0.127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1.65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0.100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SARIMA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-2.08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-1.69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0.093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SARIMA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-2.29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-1.85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0.065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TSLM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0.88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0.381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0.60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0.546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TSLM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4.06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2.99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0.003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动态回归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-0.49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0.624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-0.33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0.744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动态回归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2.45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0.015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1.79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0.075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XGBoost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-1.66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0.098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-1.13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0.260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XGBoost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-0.24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0.810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-0.17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0.867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LSTM 对 Naive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-1.47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0.143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-1.04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0.298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LSTM 对 Naive</w:t>
            </w:r>
          </w:p>
        </w:tc>
        <w:tc>
          <w:tcPr>
            <w:tcW w:w="7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-0.63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0.527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-0.47</w:t>
            </w:r>
          </w:p>
        </w:tc>
        <w:tc>
          <w:tcPr>
            <w:tcW w:w="14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0.642</w:t>
            </w:r>
          </w:p>
        </w:tc>
      </w:tr>
    </w:tbl>
    <w:p w14:paraId="6BE2069A" w14:textId="77777777">
      <w:pPr>
        <w:pStyle w:val="TableNote"/>
        <w:keepNext w:val="0"/>
        <w:spacing w:before="60" w:after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注：n＝243；LB 为 14 阶 Ljung–Box；Newey–West 使用 Bartlett 核、带宽 7；双侧检验，显著性以未四舍五入 p 值与5%比较。资料来源：R 输出（DM_HAC 表）。</w:t>
      </w:r>
    </w:p>
    <w:p>
      <w:pPr>
        <w:keepNext/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测试 RMSE 前三名之间的两两比较见</w:t>
      </w:r>
      <w:hyperlink w:anchor="tbl_D3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表D3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。</w:t>
      </w:r>
    </w:p>
    <w:p w14:paraId="306E6182" w14:textId="77777777">
      <w:pPr>
        <w:pStyle w:val="Caption"/>
        <w:keepNext/>
        <w:spacing w:after="60" w:before="240"/>
        <w:jc w:val="center"/>
      </w:pPr>
      <w:bookmarkStart w:id="7053" w:name="tbl_D3"/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 xml:space="preserve">表D3</w:t>
      </w:r>
      <w:bookmarkEnd w:id="7053"/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 xml:space="preserve">测试 RMSE 前三名两两比较的测试期 DM 稳健性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858"/>
        <w:gridCol w:w="700"/>
        <w:gridCol w:w="1000"/>
        <w:gridCol w:w="1150"/>
        <w:gridCol w:w="1000"/>
        <w:gridCol w:w="1300"/>
        <w:gridCol w:w="1450"/>
      </w:tblGrid>
      <w:tr>
        <w:trPr>
          <w:cantSplit/>
          <w:tblHeader/>
          <w:jc w:val="center"/>
        </w:trPr>
        <w:tc>
          <w:tcPr>
            <w:tcW w:w="28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比较</w:t>
            </w:r>
          </w:p>
        </w:tc>
        <w:tc>
          <w:tcPr>
            <w:tcW w:w="7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损失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LB p</w:t>
            </w:r>
          </w:p>
        </w:tc>
        <w:tc>
          <w:tcPr>
            <w:tcW w:w="11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原 DM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原 p</w:t>
            </w:r>
          </w:p>
        </w:tc>
        <w:tc>
          <w:tcPr>
            <w:tcW w:w="13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HAC DM</w:t>
            </w:r>
          </w:p>
        </w:tc>
        <w:tc>
          <w:tcPr>
            <w:tcW w:w="14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HAC p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SARIMA 对 LSTM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-0.06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0.949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-0.05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0.963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SARIMA 对 LSTM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-1.24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0.215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-0.93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0.351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SARIMA 对 XGBoost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0.002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-1.10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0.274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-1.51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0.133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SARIMA 对 XGBoost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0.370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-2.11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0.036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-1.85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0.065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LSTM 对 XGBoost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-0.72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0.472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-0.70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0.486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LSTM 对 XGBoost</w:t>
            </w:r>
          </w:p>
        </w:tc>
        <w:tc>
          <w:tcPr>
            <w:tcW w:w="7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0.031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-0.64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0.520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-0.66</w:t>
            </w:r>
          </w:p>
        </w:tc>
        <w:tc>
          <w:tcPr>
            <w:tcW w:w="14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0.508</w:t>
            </w:r>
          </w:p>
        </w:tc>
      </w:tr>
    </w:tbl>
    <w:p w14:paraId="6BE2069A" w14:textId="77777777">
      <w:pPr>
        <w:pStyle w:val="TableNote"/>
        <w:keepNext w:val="0"/>
        <w:spacing w:before="60" w:after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注：n＝243；LB 为 14 阶 Ljung–Box；Newey–West 使用 Bartlett 核、带宽 7；双侧检验，显著性以未四舍五入 p 值与5%比较。资料来源：R 输出（DM_HAC 表）。</w:t>
      </w:r>
    </w:p>
    <w:p>
      <w:pPr>
        <w:keepNext/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价格历史模型与外部变量回归模型的比较见</w:t>
      </w:r>
      <w:hyperlink w:anchor="tbl_D4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表D4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，这组比较未做多重比较校正。</w:t>
      </w:r>
    </w:p>
    <w:p w14:paraId="306E6182" w14:textId="77777777">
      <w:pPr>
        <w:pStyle w:val="Caption"/>
        <w:keepNext/>
        <w:spacing w:after="60" w:before="240"/>
        <w:jc w:val="center"/>
      </w:pPr>
      <w:bookmarkStart w:id="7054" w:name="tbl_D4"/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 xml:space="preserve">表D4</w:t>
      </w:r>
      <w:bookmarkEnd w:id="7054"/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 xml:space="preserve">价格历史模型与外部变量回归模型的测试期 DM 稳健性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858"/>
        <w:gridCol w:w="700"/>
        <w:gridCol w:w="1000"/>
        <w:gridCol w:w="1150"/>
        <w:gridCol w:w="1000"/>
        <w:gridCol w:w="1300"/>
        <w:gridCol w:w="1450"/>
      </w:tblGrid>
      <w:tr>
        <w:trPr>
          <w:cantSplit/>
          <w:tblHeader/>
          <w:jc w:val="center"/>
        </w:trPr>
        <w:tc>
          <w:tcPr>
            <w:tcW w:w="28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比较</w:t>
            </w:r>
          </w:p>
        </w:tc>
        <w:tc>
          <w:tcPr>
            <w:tcW w:w="7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损失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LB p</w:t>
            </w:r>
          </w:p>
        </w:tc>
        <w:tc>
          <w:tcPr>
            <w:tcW w:w="11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原 DM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原 p</w:t>
            </w:r>
          </w:p>
        </w:tc>
        <w:tc>
          <w:tcPr>
            <w:tcW w:w="13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HAC DM</w:t>
            </w:r>
          </w:p>
        </w:tc>
        <w:tc>
          <w:tcPr>
            <w:tcW w:w="14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HAC p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SARIMA 对 TSLM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-4.70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-3.23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0.001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SARIMA 对 TSLM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-7.39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-5.46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SARIMA 对 动态回归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-2.93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0.004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-2.41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0.017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SARIMA 对 动态回归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0.051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-5.45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-4.95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ETS 对 TSLM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-1.22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0.223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-0.93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0.353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ETS 对 TSLM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-3.12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0.002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-2.07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0.039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ETS 对 动态回归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平方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0.009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0.47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0.638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0.39</w:t>
            </w:r>
          </w:p>
        </w:tc>
        <w:tc>
          <w:tcPr>
            <w:tcW w:w="14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0.695</w:t>
            </w:r>
          </w:p>
        </w:tc>
      </w:tr>
      <w:tr>
        <w:trPr>
          <w:cantSplit/>
          <w:jc w:val="center"/>
        </w:trPr>
        <w:tc>
          <w:tcPr>
            <w:tcW w:w="28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ETS 对 动态回归</w:t>
            </w:r>
          </w:p>
        </w:tc>
        <w:tc>
          <w:tcPr>
            <w:tcW w:w="7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绝对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&lt;0.001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-1.15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0.252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-0.84</w:t>
            </w:r>
          </w:p>
        </w:tc>
        <w:tc>
          <w:tcPr>
            <w:tcW w:w="14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0.402</w:t>
            </w:r>
          </w:p>
        </w:tc>
      </w:tr>
    </w:tbl>
    <w:p w14:paraId="6BE2069A" w14:textId="77777777">
      <w:pPr>
        <w:pStyle w:val="TableNote"/>
        <w:keepNext w:val="0"/>
        <w:spacing w:before="60" w:after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注：n＝243；LB 为 14 阶 Ljung–Box；Newey–West 使用 Bartlett 核、带宽 7；双侧检验，显著性以未四舍五入 p 值与5%比较。资料来源：R 输出（DM_HAC 表）。</w:t>
      </w:r>
    </w:p>
    <w:p w14:paraId="4CAEF6B4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8"/>
          <w:szCs w:val="28"/>
        </w:rPr>
        <w:t xml:space="preserve">附录E 9月逐日预测全表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以 2026 年 8 月 31 日为预测起点，SARIMA 沿用冻结设定；经验区间按 2026 年回测步长段误差校准，与</w:t>
      </w:r>
      <w:hyperlink w:anchor="tbl_14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表14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一致。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完整结果见</w:t>
      </w:r>
      <w:hyperlink w:anchor="tbl_E1" w:history="1">
        <w:r>
          <w:rPr>
            <w:rFonts w:ascii="Times New Roman" w:hAnsi="Times New Roman" w:eastAsia="Songti SC" w:cs="Times New Roman" w:csTheme="minorBidi"/>
            <w:color w:val="0563C1"/>
            <w:sz w:val="24"/>
            <w:szCs w:val="22"/>
          </w:rPr>
          <w:t xml:space="preserve">表E1</w:t>
        </w:r>
      </w:hyperlink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。</w:t>
      </w:r>
    </w:p>
    <w:p w14:paraId="306E6182" w14:textId="77777777">
      <w:pPr>
        <w:pStyle w:val="Caption"/>
        <w:keepNext/>
        <w:spacing w:after="60" w:before="240"/>
        <w:jc w:val="center"/>
      </w:pPr>
      <w:bookmarkStart w:id="7055" w:name="tbl_E1"/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表E1</w:t>
      </w:r>
      <w:bookmarkEnd w:id="7055"/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2026年9月 SARIMA 逐日预测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00"/>
        <w:gridCol w:w="700"/>
        <w:gridCol w:w="1758"/>
        <w:gridCol w:w="2500"/>
        <w:gridCol w:w="2500"/>
      </w:tblGrid>
      <w:tr>
        <w:trPr>
          <w:cantSplit/>
          <w:tblHeader/>
          <w:jc w:val="center"/>
        </w:trPr>
        <w:tc>
          <w:tcPr>
            <w:tcW w:w="2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日期</w:t>
            </w:r>
          </w:p>
        </w:tc>
        <w:tc>
          <w:tcPr>
            <w:tcW w:w="7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步长</w:t>
            </w:r>
          </w:p>
        </w:tc>
        <w:tc>
          <w:tcPr>
            <w:tcW w:w="17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 点预测</w:t>
            </w:r>
          </w:p>
        </w:tc>
        <w:tc>
          <w:tcPr>
            <w:tcW w:w="25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经验 80% 区间</w:t>
            </w:r>
          </w:p>
        </w:tc>
        <w:tc>
          <w:tcPr>
            <w:tcW w:w="25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经验 95% 区间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2026-09-01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292.49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258.82—326.17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217.91—367.08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2026-09-02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304.64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270.96—338.31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230.05—379.22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2026-09-03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299.84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266.17—333.52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225.26—374.43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2026-09-04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4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312.81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279.13—346.48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238.22—387.39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2026-09-05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308.96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275.28—342.63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234.37—383.54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2026-09-06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6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299.22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265.55—332.90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224.64—373.81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2026-09-07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307.37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273.69—341.04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232.78—381.95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2026-09-08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294.29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246.40—342.19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205.09—383.49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2026-09-09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293.90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246.00—341.79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204.70—383.10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2026-09-10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10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290.30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242.40—338.19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201.10—379.49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2026-09-11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11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293.42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245.52—341.31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204.22—382.62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2026-09-12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12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297.73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249.84—345.63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208.54—386.93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2026-09-13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13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292.04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244.15—339.94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202.84—381.24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2026-09-14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14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286.29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238.40—334.19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197.09—375.49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2026-09-15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287.37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221.42—353.31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152.56—422.17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2026-09-16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16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287.42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221.48—353.37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152.62—422.23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2026-09-17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17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287.19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221.24—353.13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152.38—422.00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2026-09-18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18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286.90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220.95—352.84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152.09—421.70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2026-09-19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286.62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220.68—352.56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151.81—421.43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2026-09-20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286.38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220.43—352.32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151.57—421.19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2026-09-21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286.17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220.23—352.12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151.37—420.98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2026-09-22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286.00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220.06—351.95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151.20—420.81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2026-09-23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285.86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219.91—351.80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151.05—420.66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2026-09-24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285.74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219.79—351.68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150.93—420.54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2026-09-25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25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285.64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219.69—351.58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150.83—420.44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2026-09-26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26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285.55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219.61—351.50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150.75—420.36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2026-09-27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285.48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219.54—351.43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150.68—420.29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2026-09-28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285.42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219.48—351.37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150.62—420.23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2026-09-29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285.38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219.43—351.32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150.57—420.18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2026-09-30</w:t>
            </w:r>
          </w:p>
        </w:tc>
        <w:tc>
          <w:tcPr>
            <w:tcW w:w="7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</w:t>
            </w:r>
          </w:p>
        </w:tc>
        <w:tc>
          <w:tcPr>
            <w:tcW w:w="17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285.34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219.39—351.28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150.53—420.14</w:t>
            </w:r>
          </w:p>
        </w:tc>
      </w:tr>
    </w:tbl>
    <w:p w14:paraId="6BE2069A" w14:textId="77777777">
      <w:pPr>
        <w:pStyle w:val="TableNote"/>
        <w:keepNext w:val="0"/>
        <w:spacing w:before="60" w:after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注：单位为 SGD/MWh；步长为距预测起点的自然日数；区间围绕点预测对称展开。资料来源：R 输出（Sept_Path 表）。</w:t>
      </w:r>
    </w:p>
    <w:p w14:paraId="1526A5BD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附录</w:t>
      </w: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8"/>
          <w:szCs w:val="28"/>
        </w:rPr>
        <w:t>F</w:t>
      </w: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 xml:space="preserve"> 生成式人工智能使用声明</w:t>
      </w:r>
    </w:p>
    <w:p w14:paraId="06B0F23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本次修订使用 ChatGPT 辅助调整结构、删减重复文字、核实引用来源及检查排版。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本版本另使用 Claude Code（Anthropic）修改 R 代码、重跑模型，并依据 R 输出更新第3—6节的表格与文字。本次另用 Claude Code 和 Codex 修复代码中的审计问题、加入 9 月整月预测与 30 天回测，并按 R 输出修改报告；XGBoost 已重跑核实，LSTM 沿用此前的运行。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其余项目阶段的工具与用途由组员按实际情况补充。</w:t>
      </w:r>
    </w:p>
    <w:p w14:paraId="4D4813EC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F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.1 选题：【填写是否使用 AI 协助确定或缩小预测变量范围；如未使用，写“未使用”】</w:t>
      </w:r>
    </w:p>
    <w:p w14:paraId="6131219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F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.2 文献与依据：本次使用 ChatGPT 查找并核对出版社页面、作者论文、官方资料及软件手册，统一作者—年份引用，删除或替换不支持所附论点的条目。【补充组员此前实际使用情况及人工复核方式】</w:t>
      </w:r>
    </w:p>
    <w:p w14:paraId="34E1B9E7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F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.3 技术实现：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使用 Claude Code 将 ETS、SARIMA、动态回归、TSLM 与季节朴素的代码改为课程所用的 ets()、auto.arima()、tslm() 与 snaive() 写法，补充验证期与测试期排名差异的分析及4.4节辅助服务价格的稳健性检验，并重跑上述模型；表中数值均为 R 实际运行的输出，XGBoost 已用提交的代码重跑核实，结果完全一致；LSTM 沿用此前的运行，模型代码相同，但 TensorFlow 版本与硬件不同可能导致重跑小幅差异。Claude Code 和 Codex 另修复代码审计问题，加入 9 月整月预测与 30 天滚动回测。【补充组员此前的代码编写、调试情况及人工核对方式】</w:t>
      </w:r>
    </w:p>
    <w:p w14:paraId="52A5A0EB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F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.4 文字编辑：ChatGPT 协助本报告结构调整、删减及行文修订。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Claude Code 依据 R 输出改写第3—6节中涉及结果的文字；本次使用 Codex 按 output/report_tables.xlsx 核对报告、重写第5节、更新结论并补充附录E。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【补充组员其他实际使用情况】</w:t>
      </w:r>
    </w:p>
    <w:p w14:paraId="371B3495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F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.5 本组对数据准确性、模型有效性及报告完整性负责。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R 重跑已于2026年10月11日完成，表格数值来自 output/report_tables.xlsx。本次核查涵盖代码审计修复、9 月整月预测与 30 天回测的报告一致性；XGBoost 已重跑核实，LSTM 沿用此前的运行，仍需组员完成人工复核。【待填写文献、数据和代码的人工核实方式】</w:t>
      </w:r>
    </w:p>
    <w:sectPr>
      <w:footerReference w:type="default" r:id="rId38"/>
      <w:pgSz w:w="11906" w:h="16838"/>
      <w:pgMar w:top="1195" w:right="1238" w:bottom="1195" w:left="1238" w:header="504" w:footer="504" w:gutter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8DA14" w14:textId="77777777">
      <w:pPr>
        <w:spacing w:line="240" w:lineRule="auto"/>
      </w:pPr>
      <w:r>
        <w:separator/>
      </w:r>
    </w:p>
  </w:endnote>
  <w:endnote w:type="continuationSeparator" w:id="0">
    <w:p w14:paraId="39B5C3A7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Songti SC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296B18A0" w14:textId="77777777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A4FDA" w14:textId="77777777">
      <w:pPr>
        <w:spacing w:line="240" w:lineRule="auto"/>
      </w:pPr>
      <w:r>
        <w:separator/>
      </w:r>
    </w:p>
  </w:footnote>
  <w:footnote w:type="continuationSeparator" w:id="0">
    <w:p w14:paraId="41BD2CD8" w14:textId="77777777">
      <w:pPr>
        <w:spacing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注：红虚线为训练期95%分位数554.48 SGD/MWh；灰虚线标示验证和测试起点。资料来源：</w:t>
      </w:r>
      <w:hyperlink w:anchor="ref_EMCb" w:history="1">
        <w:r>
          <w:rPr>
            <w:color w:val="0563C1"/>
          </w:rPr>
          <w:t xml:space="preserve">EMC (n.d.b)</w:t>
        </w:r>
      </w:hyperlink>
      <w:r>
        <w:t xml:space="preserve">，</w:t>
      </w:r>
      <w:r>
        <w:rPr>
          <w:color w:val="FF0000"/>
        </w:rPr>
        <w:t xml:space="preserve">R 输出。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资料来源：</w:t>
      </w:r>
      <w:hyperlink w:anchor="ref_EMCb" w:history="1">
        <w:r>
          <w:rPr>
            <w:color w:val="0563C1"/>
          </w:rPr>
          <w:t xml:space="preserve">EMC (n.d.b)</w:t>
        </w:r>
      </w:hyperlink>
      <w:r>
        <w:t xml:space="preserve">，</w:t>
      </w:r>
      <w:r>
        <w:rPr>
          <w:color w:val="FF0000"/>
        </w:rPr>
        <w:t xml:space="preserve">R 输出。SARIMA 与动态回归的最终阶数见3.5节。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资料来源：</w:t>
      </w:r>
      <w:hyperlink w:anchor="ref_EMCb" w:history="1">
        <w:r>
          <w:rPr>
            <w:color w:val="0563C1"/>
          </w:rPr>
          <w:t xml:space="preserve">EMC (n.d.b)</w:t>
        </w:r>
      </w:hyperlink>
      <w:r>
        <w:t xml:space="preserve"> 与 </w:t>
      </w:r>
      <w:r>
        <w:rPr>
          <w:color w:val="FF0000"/>
        </w:rPr>
        <w:t xml:space="preserve">R 预测输出；自上而下为 SARIMA、LSTM、XGBoost 与动态回归。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3916304">
    <w:abstractNumId w:val="8"/>
  </w:num>
  <w:num w:numId="2" w16cid:durableId="216597977">
    <w:abstractNumId w:val="6"/>
  </w:num>
  <w:num w:numId="3" w16cid:durableId="1787192930">
    <w:abstractNumId w:val="5"/>
  </w:num>
  <w:num w:numId="4" w16cid:durableId="640887110">
    <w:abstractNumId w:val="4"/>
  </w:num>
  <w:num w:numId="5" w16cid:durableId="1043409189">
    <w:abstractNumId w:val="7"/>
  </w:num>
  <w:num w:numId="6" w16cid:durableId="843974207">
    <w:abstractNumId w:val="3"/>
  </w:num>
  <w:num w:numId="7" w16cid:durableId="1615862148">
    <w:abstractNumId w:val="2"/>
  </w:num>
  <w:num w:numId="8" w16cid:durableId="1082217233">
    <w:abstractNumId w:val="1"/>
  </w:num>
  <w:num w:numId="9" w16cid:durableId="209153752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7885"/>
    <w:rsid w:val="0015074B"/>
    <w:rsid w:val="0029639D"/>
    <w:rsid w:val="00326F90"/>
    <w:rsid w:val="007235FB"/>
    <w:rsid w:val="008C649D"/>
    <w:rsid w:val="00AA1D8D"/>
    <w:rsid w:val="00B47730"/>
    <w:rsid w:val="00C713E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5A508A"/>
  <w14:defaultImageDpi w14:val="300"/>
  <w15:docId w15:val="{91C48C47-D4AE-E44F-8283-5BA8034C0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00" w:lineRule="auto"/>
      <w:ind w:firstLine="360"/>
    </w:pPr>
    <w:rPr>
      <w:rFonts w:ascii="Times New Roman" w:eastAsia="Songti SC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40"/>
      <w:ind w:firstLine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40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ind w:firstLine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76" w:lineRule="auto"/>
      <w:ind w:firstLine="0"/>
      <w:contextualSpacing/>
    </w:pPr>
    <w:rPr>
      <w:rFonts w:asciiTheme="majorHAnsi" w:eastAsiaTheme="majorEastAsia" w:hAnsiTheme="majorHAnsi" w:cstheme="majorBidi"/>
      <w:b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80" w:line="312" w:lineRule="auto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aption">
    <w:name w:val="caption"/>
    <w:basedOn w:val="Normal"/>
    <w:qFormat/>
    <w:pPr>
      <w:keepNext/>
      <w:snapToGrid w:val="0"/>
      <w:spacing w:before="0" w:after="0" w:line="240" w:lineRule="auto"/>
      <w:ind w:firstLine="0"/>
      <w:jc w:val="center"/>
    </w:pPr>
    <w:rPr>
      <w:b/>
      <w:bCs/>
      <w:color w:val="000000"/>
      <w:sz w:val="24"/>
      <w:szCs w:val="24"/>
    </w:rPr>
  </w:style>
  <w:style w:type="paragraph" w:styleId="TableNote">
    <w:name w:val="Table Note"/>
    <w:basedOn w:val="Normal"/>
    <w:qFormat/>
    <w:pPr>
      <w:keepNext/>
      <w:snapToGrid w:val="0"/>
      <w:spacing w:before="0" w:after="80" w:line="240" w:lineRule="auto"/>
      <w:ind w:firstLine="0"/>
      <w:jc w:val="both"/>
    </w:pPr>
    <w:rPr>
      <w:color w:val="000000"/>
      <w:sz w:val="20"/>
      <w:szCs w:val="20"/>
    </w:rPr>
  </w:style>
  <w:style w:type="paragraph" w:styleId="FootnoteText">
    <w:name w:val="footnote text"/>
    <w:basedOn w:val="Normal"/>
    <w:qFormat/>
    <w:pPr>
      <w:snapToGrid w:val="0"/>
      <w:spacing w:before="0" w:after="0" w:line="240" w:lineRule="auto"/>
      <w:ind w:firstLine="0"/>
      <w:jc w:val="both"/>
    </w:pPr>
    <w:rPr>
      <w:color w:val="000000"/>
      <w:sz w:val="18"/>
      <w:szCs w:val="18"/>
    </w:rPr>
  </w:style>
  <w:style w:type="character" w:styleId="FootnoteReference">
    <w:name w:val="footnote reference"/>
    <w:basedOn w:val="DefaultParagraphFont"/>
    <w:qFormat/>
    <w:rPr>
      <w:vertAlign w:val="superscript"/>
    </w:rPr>
  </w:style>
  <w:style w:type="character" w:styleId="Hyperlink">
    <w:name w:val="Hyperlink"/>
    <w:basedOn w:val="DefaultParagraphFont"/>
    <w:qFormat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arxiv.org/abs/2507.07477v1" TargetMode="External"/><Relationship Id="rId18" Type="http://schemas.openxmlformats.org/officeDocument/2006/relationships/hyperlink" Target="https://www.ema.gov.sg/resources/singapore-energy-statistics/chapter5" TargetMode="External"/><Relationship Id="rId26" Type="http://schemas.openxmlformats.org/officeDocument/2006/relationships/hyperlink" Target="https://doi.org/10.1093/biomet/65.2.297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www.nems.emcsg.com/nems-prices" TargetMode="External"/><Relationship Id="rId34" Type="http://schemas.openxmlformats.org/officeDocument/2006/relationships/hyperlink" Target="https://doi.org/10.1093/biomet/71.3.599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pkg.robjhyndman.com/forecast/reference/dm.test.html" TargetMode="External"/><Relationship Id="rId17" Type="http://schemas.openxmlformats.org/officeDocument/2006/relationships/hyperlink" Target="https://www.ema.gov.sg/resources/singapore-energy-statistics/chapter2" TargetMode="External"/><Relationship Id="rId25" Type="http://schemas.openxmlformats.org/officeDocument/2006/relationships/hyperlink" Target="https://doi.org/10.1016/0304-4076(92)90104-Y" TargetMode="External"/><Relationship Id="rId33" Type="http://schemas.openxmlformats.org/officeDocument/2006/relationships/hyperlink" Target="https://doi.org/10.1016/j.apenergy.2023.121989" TargetMode="External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ema.gov.sg/news-events/news/media-releases/2023/introduction-of-the-temporary-price-cap" TargetMode="External"/><Relationship Id="rId20" Type="http://schemas.openxmlformats.org/officeDocument/2006/relationships/hyperlink" Target="https://www.nems.emcsg.com/Guide-To-Prices" TargetMode="External"/><Relationship Id="rId29" Type="http://schemas.openxmlformats.org/officeDocument/2006/relationships/hyperlink" Target="https://www.mom.gov.sg/newsroom/press-releases/2025/0415-public-holiday-on-polling-day_3-may-202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16/j.energy.2017.04.005" TargetMode="External"/><Relationship Id="rId24" Type="http://schemas.openxmlformats.org/officeDocument/2006/relationships/hyperlink" Target="https://otexts.com/fpp3/" TargetMode="External"/><Relationship Id="rId32" Type="http://schemas.openxmlformats.org/officeDocument/2006/relationships/hyperlink" Target="https://eservices.mas.gov.sg/Statistics/msb/ExchangeRates.aspx" TargetMode="External"/><Relationship Id="rId37" Type="http://schemas.openxmlformats.org/officeDocument/2006/relationships/hyperlink" Target="https://doi.org/10.1016/j.ijforecast.2014.08.008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80/07350015.1995.10524599" TargetMode="External"/><Relationship Id="rId23" Type="http://schemas.openxmlformats.org/officeDocument/2006/relationships/hyperlink" Target="https://doi.org/10.1162/neco.1997.9.8.1735" TargetMode="External"/><Relationship Id="rId28" Type="http://schemas.openxmlformats.org/officeDocument/2006/relationships/hyperlink" Target="https://www.mom.gov.sg/newsroom/press-releases/2023/0822-public-holiday-on-polling-day---1-sep-2023" TargetMode="External"/><Relationship Id="rId36" Type="http://schemas.openxmlformats.org/officeDocument/2006/relationships/hyperlink" Target="https://www.eia.gov/dnav/pet/hist/RBRTED.htm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ema.gov.sg/consumer-information/energy-prices-in-singapore-what-you-need-to-know/what-is-affecting-energy-prices-in-singapore" TargetMode="External"/><Relationship Id="rId31" Type="http://schemas.openxmlformats.org/officeDocument/2006/relationships/hyperlink" Target="https://www.meti.gov.sg/newsroom/oral-reply-to-pqs-on-temporary-electricity-contracting-support-scheme--trecs-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arxiv.org/abs/1603.02754" TargetMode="External"/><Relationship Id="rId22" Type="http://schemas.openxmlformats.org/officeDocument/2006/relationships/hyperlink" Target="https://doi.org/10.1016/S0169-2070(96)00719-4" TargetMode="External"/><Relationship Id="rId27" Type="http://schemas.openxmlformats.org/officeDocument/2006/relationships/hyperlink" Target="https://www.weather.gov.sg/climate-historical-daily/" TargetMode="External"/><Relationship Id="rId30" Type="http://schemas.openxmlformats.org/officeDocument/2006/relationships/hyperlink" Target="https://www.mom.gov.sg/employment-practices/public-holidays" TargetMode="External"/><Relationship Id="rId35" Type="http://schemas.openxmlformats.org/officeDocument/2006/relationships/hyperlink" Target="https://cran.r-project.org/web/packages/tseries/tseries.pdf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41" Type="http://schemas.openxmlformats.org/officeDocument/2006/relationships/image" Target="media/image4.png"/><Relationship Id="rId42" Type="http://schemas.openxmlformats.org/officeDocument/2006/relationships/image" Target="media/image5.png"/><Relationship Id="rId43" Type="http://schemas.openxmlformats.org/officeDocument/2006/relationships/image" Target="media/image6.png"/><Relationship Id="rId4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2905</Words>
  <Characters>16561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新加坡日度电价预测研究报告</dc:title>
  <dc:subject>精简修订稿</dc:subject>
  <dc:creator>#WAN YUXUAN#</dc:creator>
  <cp:keywords/>
  <dc:description/>
  <cp:lastModifiedBy>#WAN YUXUAN#</cp:lastModifiedBy>
  <cp:revision>2</cp:revision>
  <dcterms:created xsi:type="dcterms:W3CDTF">2026-10-11T07:56:00Z</dcterms:created>
  <dcterms:modified xsi:type="dcterms:W3CDTF">2026-10-11T09:53:37.376Z</dcterms:modified>
  <cp:category/>
</cp:coreProperties>
</file>