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87tykp1u0l36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Controls and compliance checklist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controls assessment checklist, refer to the information provided in the </w:t>
      </w:r>
      <w:hyperlink r:id="rId6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control, including the type and purpose, refer to the </w:t>
      </w:r>
      <w:hyperlink r:id="rId7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 categories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document.</w:t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have this control in place? 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Controls assessment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Control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Least Privilege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Disaster recovery plans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policies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Separation of duties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1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Firewall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numPr>
                <w:ilvl w:val="0"/>
                <w:numId w:val="1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1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Intrusion detection system (IDS)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Backups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numPr>
                <w:ilvl w:val="0"/>
                <w:numId w:val="19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Antivirus software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Manual monitoring, maintenance, and intervention for legacy systems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Encryption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Password management system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Locks (offices, storefront, warehouse)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Closed-circuit television (CCTV) surveillance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numPr>
                <w:ilvl w:val="0"/>
                <w:numId w:val="18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Fire detection/prevention (fire alarm, sprinkler system, etc.)</w:t>
            </w:r>
          </w:p>
        </w:tc>
      </w:tr>
    </w:tbl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To complete the compliance checklist, refer to the information provided in the </w:t>
      </w:r>
      <w:hyperlink r:id="rId8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scope, goals, and risk assessment report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. For more details about each compliance regulation, review the </w:t>
      </w:r>
      <w:hyperlink r:id="rId9">
        <w:r w:rsidDel="00000000" w:rsidR="00000000" w:rsidRPr="00000000">
          <w:rPr>
            <w:rFonts w:ascii="Google Sans" w:cs="Google Sans" w:eastAsia="Google Sans" w:hAnsi="Google Sans"/>
            <w:color w:val="1155cc"/>
            <w:sz w:val="24"/>
            <w:szCs w:val="24"/>
            <w:u w:val="single"/>
            <w:rtl w:val="0"/>
          </w:rPr>
          <w:t xml:space="preserve">controls, frameworks, and compliance</w:t>
        </w:r>
      </w:hyperlink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reading.</w:t>
      </w:r>
    </w:p>
    <w:p w:rsidR="00000000" w:rsidDel="00000000" w:rsidP="00000000" w:rsidRDefault="00000000" w:rsidRPr="00000000" w14:paraId="0000003B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Google Sans" w:cs="Google Sans" w:eastAsia="Google Sans" w:hAnsi="Google Sans"/>
          <w:i w:val="1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Then, select “yes” or “no” to answer the question: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Does Botium Toys currently adhere to this compliance best practice?</w:t>
      </w:r>
    </w:p>
    <w:p w:rsidR="00000000" w:rsidDel="00000000" w:rsidP="00000000" w:rsidRDefault="00000000" w:rsidRPr="00000000" w14:paraId="0000003D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Compliance checklist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Payment Card Industry Data Security Standard (PCI DSS)</w:t>
      </w:r>
    </w:p>
    <w:tbl>
      <w:tblPr>
        <w:tblStyle w:val="Table2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Only authorized users have access to customers’ credit card information.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Credit card information is stored, accepted, processed, and transmitted internally, in a secure environment.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Implement data encryption procedures to better secure credit card transaction touchpoints and data.</w:t>
            </w: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highlight w:val="yellow"/>
                <w:rtl w:val="0"/>
              </w:rPr>
              <w:t xml:space="preserve">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Adopt secure password management policies.</w:t>
            </w:r>
          </w:p>
        </w:tc>
      </w:tr>
    </w:tbl>
    <w:p w:rsidR="00000000" w:rsidDel="00000000" w:rsidP="00000000" w:rsidRDefault="00000000" w:rsidRPr="00000000" w14:paraId="00000050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00" w:line="360" w:lineRule="auto"/>
        <w:rPr>
          <w:rFonts w:ascii="Google Sans" w:cs="Google Sans" w:eastAsia="Google Sans" w:hAnsi="Google Sans"/>
          <w:sz w:val="24"/>
          <w:szCs w:val="24"/>
          <w:u w:val="single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General Data Protection Regulation (GDPR)</w:t>
      </w:r>
    </w:p>
    <w:tbl>
      <w:tblPr>
        <w:tblStyle w:val="Table3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00"/>
        <w:gridCol w:w="945"/>
        <w:gridCol w:w="7515"/>
        <w:tblGridChange w:id="0">
          <w:tblGrid>
            <w:gridCol w:w="900"/>
            <w:gridCol w:w="94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E.U. customers’ data is kept private/secured.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There is a plan in place to notify E.U. customers within 72 hours if their data is compromised/there is a breach.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Ensure data is properly classified and inventoried.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Enforce privacy policies, procedures, and processes to properly document and maintain data.</w:t>
            </w:r>
          </w:p>
        </w:tc>
      </w:tr>
    </w:tbl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u w:val="single"/>
          <w:rtl w:val="0"/>
        </w:rPr>
        <w:t xml:space="preserve">System and Organizations Controls (SOC type 1, SOC type 2)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</w:t>
      </w:r>
    </w:p>
    <w:tbl>
      <w:tblPr>
        <w:tblStyle w:val="Table4"/>
        <w:tblW w:w="9360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930"/>
        <w:gridCol w:w="915"/>
        <w:gridCol w:w="7515"/>
        <w:tblGridChange w:id="0">
          <w:tblGrid>
            <w:gridCol w:w="930"/>
            <w:gridCol w:w="915"/>
            <w:gridCol w:w="7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jc w:val="right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Yes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jc w:val="center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    No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b w:val="1"/>
                <w:sz w:val="24"/>
                <w:szCs w:val="24"/>
                <w:rtl w:val="0"/>
              </w:rPr>
              <w:t xml:space="preserve">Best practice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numPr>
                <w:ilvl w:val="0"/>
                <w:numId w:val="15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User access policies are established.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numPr>
                <w:ilvl w:val="0"/>
                <w:numId w:val="2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Sensitive data (PII/SPII) is confidential/private.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numPr>
                <w:ilvl w:val="0"/>
                <w:numId w:val="1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integrity ensures the data is consistent, complete, accurate, and has been validated.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jc w:val="both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strike w:val="1"/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>
                <w:rFonts w:ascii="Google Sans" w:cs="Google Sans" w:eastAsia="Google Sans" w:hAnsi="Google Sans"/>
                <w:sz w:val="24"/>
                <w:szCs w:val="24"/>
              </w:rPr>
            </w:pPr>
            <w:r w:rsidDel="00000000" w:rsidR="00000000" w:rsidRPr="00000000">
              <w:rPr>
                <w:rFonts w:ascii="Google Sans" w:cs="Google Sans" w:eastAsia="Google Sans" w:hAnsi="Google Sans"/>
                <w:sz w:val="24"/>
                <w:szCs w:val="24"/>
                <w:rtl w:val="0"/>
              </w:rPr>
              <w:t xml:space="preserve">Data is available to individuals authorized to access it.</w:t>
            </w:r>
          </w:p>
        </w:tc>
      </w:tr>
    </w:tbl>
    <w:p w:rsidR="00000000" w:rsidDel="00000000" w:rsidP="00000000" w:rsidRDefault="00000000" w:rsidRPr="00000000" w14:paraId="00000074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360" w:lineRule="auto"/>
        <w:rPr>
          <w:rFonts w:ascii="Google Sans" w:cs="Google Sans" w:eastAsia="Google Sans" w:hAnsi="Google Sans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This section is </w:t>
      </w:r>
      <w:r w:rsidDel="00000000" w:rsidR="00000000" w:rsidRPr="00000000">
        <w:rPr>
          <w:rFonts w:ascii="Google Sans" w:cs="Google Sans" w:eastAsia="Google Sans" w:hAnsi="Google Sans"/>
          <w:i w:val="1"/>
          <w:sz w:val="24"/>
          <w:szCs w:val="24"/>
          <w:rtl w:val="0"/>
        </w:rPr>
        <w:t xml:space="preserve">optional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 and can be used to provide a summary of recommendations to the IT manager regarding which controls and/or compliance best practices Botium Toys needs to implement, based on the risk posed if not implemented in a timely manner.</w:t>
      </w:r>
    </w:p>
    <w:p w:rsidR="00000000" w:rsidDel="00000000" w:rsidP="00000000" w:rsidRDefault="00000000" w:rsidRPr="00000000" w14:paraId="00000077">
      <w:pPr>
        <w:spacing w:after="200" w:line="360" w:lineRule="auto"/>
        <w:rPr/>
      </w:pP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Recommendations (optional): </w:t>
      </w:r>
      <w:r w:rsidDel="00000000" w:rsidR="00000000" w:rsidRPr="00000000">
        <w:rPr>
          <w:rFonts w:ascii="Google Sans" w:cs="Google Sans" w:eastAsia="Google Sans" w:hAnsi="Google Sans"/>
          <w:sz w:val="24"/>
          <w:szCs w:val="24"/>
          <w:rtl w:val="0"/>
        </w:rPr>
        <w:t xml:space="preserve">In this section, provide recommendations, related to controls and/or compliance needs, that your IT manager could communicate to stakeholders to reduce risks to assets and improve Botium Toys’ security posture.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coursera.org/learn/foundations-of-cybersecurity/supplement/xu4pr/controls-frameworks-and-compliance" TargetMode="Externa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s2u_RuhRAI40JSh-eZHvaFsV1ZMxcNSWXifHDTOsgFc/template/preview#heading=h.evidx83t54sc" TargetMode="External"/><Relationship Id="rId7" Type="http://schemas.openxmlformats.org/officeDocument/2006/relationships/hyperlink" Target="https://docs.google.com/document/d/1btezuy_bMKWoK8pd97ZuzdWB9y6au_zfkrpkfVf8ktI/template/preview" TargetMode="External"/><Relationship Id="rId8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