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w:cs="Calibri" w:eastAsia="Calibri" w:hAnsi="Calibri"/>
          <w:b/>
          <w:bCs/>
          <w:color w:val="B08D57"/>
          <w:spacing w:val="60"/>
          <w:sz w:val="24"/>
          <w:szCs w:val="24"/>
        </w:rPr>
        <w:t xml:space="preserve">HOTELIER MIDDLE EAST AWARDS 2026</w:t>
      </w:r>
    </w:p>
    <w:p>
      <w:pPr>
        <w:pBdr>
          <w:bottom w:val="single" w:color="B08D57" w:sz="10" w:space="10"/>
        </w:pBdr>
        <w:spacing w:after="300"/>
        <w:jc w:val="center"/>
      </w:pPr>
      <w:r>
        <w:rPr>
          <w:rFonts w:ascii="Calibri" w:cs="Calibri" w:eastAsia="Calibri" w:hAnsi="Calibri"/>
          <w:b/>
          <w:bCs/>
          <w:color w:val="1F3864"/>
          <w:sz w:val="30"/>
          <w:szCs w:val="30"/>
        </w:rPr>
        <w:t xml:space="preserve">CATEGORY: IT PERSON OF THE YEAR</w:t>
      </w:r>
    </w:p>
    <w:p>
      <w:pPr>
        <w:spacing w:after="120" w:before="300"/>
        <w:jc w:val="center"/>
      </w:pPr>
      <w:r>
        <w:rPr>
          <w:rFonts w:ascii="Calibri" w:cs="Calibri" w:eastAsia="Calibri" w:hAnsi="Calibri"/>
          <w:b/>
          <w:bCs/>
          <w:color w:val="1F3864"/>
          <w:sz w:val="36"/>
          <w:szCs w:val="36"/>
        </w:rPr>
        <w:t xml:space="preserve">AI, Automation and Cost Resilience Programme</w:t>
      </w:r>
    </w:p>
    <w:p>
      <w:pPr>
        <w:spacing w:after="500"/>
        <w:jc w:val="center"/>
      </w:pPr>
      <w:r>
        <w:rPr>
          <w:rFonts w:ascii="Calibri" w:cs="Calibri" w:eastAsia="Calibri" w:hAnsi="Calibri"/>
          <w:i/>
          <w:iCs/>
          <w:color w:val="595959"/>
          <w:sz w:val="22"/>
          <w:szCs w:val="22"/>
        </w:rPr>
        <w:t xml:space="preserve">Four platforms built in house. Zero capital investment. A P&amp;L protected through the 2026 regional crisis.</w:t>
      </w:r>
    </w:p>
    <w:tbl>
      <w:tblPr>
        <w:tblW w:type="dxa" w:w="9746"/>
        <w:tblBorders>
          <w:top w:val="none"/>
          <w:left w:val="none"/>
          <w:bottom w:val="none"/>
          <w:right w:val="none"/>
          <w:insideH w:val="single" w:color="D9D9D9" w:sz="2"/>
          <w:insideV w:val="none"/>
        </w:tblBorders>
      </w:tblPr>
      <w:tblGrid>
        <w:gridCol w:w="2600"/>
        <w:gridCol w:w="7146"/>
      </w:tblGrid>
      <w:tr>
        <w:tc>
          <w:tcPr>
            <w:tcW w:type="dxa" w:w="2600"/>
            <w:shd w:fill="FFFFFF" w:color="auto" w:val="clear"/>
            <w:tcMar>
              <w:top w:type="dxa" w:w="100"/>
              <w:left w:type="dxa" w:w="0"/>
              <w:bottom w:type="dxa" w:w="100"/>
              <w:right w:type="dxa" w:w="120"/>
            </w:tcMar>
          </w:tcPr>
          <w:p>
            <w:r>
              <w:rPr>
                <w:rFonts w:ascii="Calibri" w:cs="Calibri" w:eastAsia="Calibri" w:hAnsi="Calibri"/>
                <w:b/>
                <w:bCs/>
                <w:color w:val="1F3864"/>
                <w:sz w:val="20"/>
                <w:szCs w:val="20"/>
              </w:rPr>
              <w:t xml:space="preserve">Nominee</w:t>
            </w:r>
          </w:p>
        </w:tc>
        <w:tc>
          <w:tcPr>
            <w:tcW w:type="dxa" w:w="7146"/>
            <w:shd w:fill="FFFFFF" w:color="auto" w:val="clear"/>
            <w:tcMar>
              <w:top w:type="dxa" w:w="100"/>
              <w:left w:type="dxa" w:w="0"/>
              <w:bottom w:type="dxa" w:w="100"/>
              <w:right w:type="dxa" w:w="0"/>
            </w:tcMar>
          </w:tcPr>
          <w:p>
            <w:r>
              <w:rPr>
                <w:rFonts w:ascii="Calibri" w:cs="Calibri" w:eastAsia="Calibri" w:hAnsi="Calibri"/>
                <w:sz w:val="20"/>
                <w:szCs w:val="20"/>
              </w:rPr>
              <w:t xml:space="preserve">Mohamed Ezzeldin, IT Manager</w:t>
            </w:r>
          </w:p>
        </w:tc>
      </w:tr>
      <w:tr>
        <w:tc>
          <w:tcPr>
            <w:tcW w:type="dxa" w:w="2600"/>
            <w:shd w:fill="FFFFFF" w:color="auto" w:val="clear"/>
            <w:tcMar>
              <w:top w:type="dxa" w:w="100"/>
              <w:left w:type="dxa" w:w="0"/>
              <w:bottom w:type="dxa" w:w="100"/>
              <w:right w:type="dxa" w:w="120"/>
            </w:tcMar>
          </w:tcPr>
          <w:p>
            <w:r>
              <w:rPr>
                <w:rFonts w:ascii="Calibri" w:cs="Calibri" w:eastAsia="Calibri" w:hAnsi="Calibri"/>
                <w:b/>
                <w:bCs/>
                <w:color w:val="1F3864"/>
                <w:sz w:val="20"/>
                <w:szCs w:val="20"/>
              </w:rPr>
              <w:t xml:space="preserve">Qualification</w:t>
            </w:r>
          </w:p>
        </w:tc>
        <w:tc>
          <w:tcPr>
            <w:tcW w:type="dxa" w:w="7146"/>
            <w:shd w:fill="FFFFFF" w:color="auto" w:val="clear"/>
            <w:tcMar>
              <w:top w:type="dxa" w:w="100"/>
              <w:left w:type="dxa" w:w="0"/>
              <w:bottom w:type="dxa" w:w="100"/>
              <w:right w:type="dxa" w:w="0"/>
            </w:tcMar>
          </w:tcPr>
          <w:p>
            <w:r>
              <w:rPr>
                <w:rFonts w:ascii="Calibri" w:cs="Calibri" w:eastAsia="Calibri" w:hAnsi="Calibri"/>
                <w:sz w:val="20"/>
                <w:szCs w:val="20"/>
              </w:rPr>
              <w:t xml:space="preserve">MBA, Business Analytics and Strategic Management, Heriot-Watt University (Edinburgh Business School)</w:t>
            </w:r>
          </w:p>
        </w:tc>
      </w:tr>
      <w:tr>
        <w:tc>
          <w:tcPr>
            <w:tcW w:type="dxa" w:w="2600"/>
            <w:shd w:fill="FFFFFF" w:color="auto" w:val="clear"/>
            <w:tcMar>
              <w:top w:type="dxa" w:w="100"/>
              <w:left w:type="dxa" w:w="0"/>
              <w:bottom w:type="dxa" w:w="100"/>
              <w:right w:type="dxa" w:w="120"/>
            </w:tcMar>
          </w:tcPr>
          <w:p>
            <w:r>
              <w:rPr>
                <w:rFonts w:ascii="Calibri" w:cs="Calibri" w:eastAsia="Calibri" w:hAnsi="Calibri"/>
                <w:b/>
                <w:bCs/>
                <w:color w:val="1F3864"/>
                <w:sz w:val="20"/>
                <w:szCs w:val="20"/>
              </w:rPr>
              <w:t xml:space="preserve">Property</w:t>
            </w:r>
          </w:p>
        </w:tc>
        <w:tc>
          <w:tcPr>
            <w:tcW w:type="dxa" w:w="7146"/>
            <w:shd w:fill="FFFFFF" w:color="auto" w:val="clear"/>
            <w:tcMar>
              <w:top w:type="dxa" w:w="100"/>
              <w:left w:type="dxa" w:w="0"/>
              <w:bottom w:type="dxa" w:w="100"/>
              <w:right w:type="dxa" w:w="0"/>
            </w:tcMar>
          </w:tcPr>
          <w:p>
            <w:r>
              <w:rPr>
                <w:rFonts w:ascii="Calibri" w:cs="Calibri" w:eastAsia="Calibri" w:hAnsi="Calibri"/>
                <w:sz w:val="20"/>
                <w:szCs w:val="20"/>
              </w:rPr>
              <w:t xml:space="preserve">[CONFIRM: Property name], Abu Dhabi, 200 keys</w:t>
            </w:r>
          </w:p>
        </w:tc>
      </w:tr>
      <w:tr>
        <w:tc>
          <w:tcPr>
            <w:tcW w:type="dxa" w:w="2600"/>
            <w:shd w:fill="FFFFFF" w:color="auto" w:val="clear"/>
            <w:tcMar>
              <w:top w:type="dxa" w:w="100"/>
              <w:left w:type="dxa" w:w="0"/>
              <w:bottom w:type="dxa" w:w="100"/>
              <w:right w:type="dxa" w:w="120"/>
            </w:tcMar>
          </w:tcPr>
          <w:p>
            <w:r>
              <w:rPr>
                <w:rFonts w:ascii="Calibri" w:cs="Calibri" w:eastAsia="Calibri" w:hAnsi="Calibri"/>
                <w:b/>
                <w:bCs/>
                <w:color w:val="1F3864"/>
                <w:sz w:val="20"/>
                <w:szCs w:val="20"/>
              </w:rPr>
              <w:t xml:space="preserve">Group</w:t>
            </w:r>
          </w:p>
        </w:tc>
        <w:tc>
          <w:tcPr>
            <w:tcW w:type="dxa" w:w="7146"/>
            <w:shd w:fill="FFFFFF" w:color="auto" w:val="clear"/>
            <w:tcMar>
              <w:top w:type="dxa" w:w="100"/>
              <w:left w:type="dxa" w:w="0"/>
              <w:bottom w:type="dxa" w:w="100"/>
              <w:right w:type="dxa" w:w="0"/>
            </w:tcMar>
          </w:tcPr>
          <w:p>
            <w:r>
              <w:rPr>
                <w:rFonts w:ascii="Calibri" w:cs="Calibri" w:eastAsia="Calibri" w:hAnsi="Calibri"/>
                <w:sz w:val="20"/>
                <w:szCs w:val="20"/>
              </w:rPr>
              <w:t xml:space="preserve">IHG Hotels and Resorts</w:t>
            </w:r>
          </w:p>
        </w:tc>
      </w:tr>
      <w:tr>
        <w:tc>
          <w:tcPr>
            <w:tcW w:type="dxa" w:w="2600"/>
            <w:shd w:fill="FFFFFF" w:color="auto" w:val="clear"/>
            <w:tcMar>
              <w:top w:type="dxa" w:w="100"/>
              <w:left w:type="dxa" w:w="0"/>
              <w:bottom w:type="dxa" w:w="100"/>
              <w:right w:type="dxa" w:w="120"/>
            </w:tcMar>
          </w:tcPr>
          <w:p>
            <w:r>
              <w:rPr>
                <w:rFonts w:ascii="Calibri" w:cs="Calibri" w:eastAsia="Calibri" w:hAnsi="Calibri"/>
                <w:b/>
                <w:bCs/>
                <w:color w:val="1F3864"/>
                <w:sz w:val="20"/>
                <w:szCs w:val="20"/>
              </w:rPr>
              <w:t xml:space="preserve">Entry period</w:t>
            </w:r>
          </w:p>
        </w:tc>
        <w:tc>
          <w:tcPr>
            <w:tcW w:type="dxa" w:w="7146"/>
            <w:shd w:fill="FFFFFF" w:color="auto" w:val="clear"/>
            <w:tcMar>
              <w:top w:type="dxa" w:w="100"/>
              <w:left w:type="dxa" w:w="0"/>
              <w:bottom w:type="dxa" w:w="100"/>
              <w:right w:type="dxa" w:w="0"/>
            </w:tcMar>
          </w:tcPr>
          <w:p>
            <w:r>
              <w:rPr>
                <w:rFonts w:ascii="Calibri" w:cs="Calibri" w:eastAsia="Calibri" w:hAnsi="Calibri"/>
                <w:sz w:val="20"/>
                <w:szCs w:val="20"/>
              </w:rPr>
              <w:t xml:space="preserve">January to December 2026</w:t>
            </w:r>
          </w:p>
        </w:tc>
      </w:tr>
    </w:tbl>
    <w:p>
      <w:r>
        <w:br w:type="page"/>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HOW TO USE THIS DOCUMENT</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2151"/>
        <w:gridCol w:w="7595"/>
      </w:tblGrid>
      <w:tr>
        <w:trPr>
          <w:tblHeader/>
        </w:trPr>
        <w:tc>
          <w:tcPr>
            <w:tcW w:type="dxa" w:w="2151"/>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Marker</w:t>
            </w:r>
          </w:p>
        </w:tc>
        <w:tc>
          <w:tcPr>
            <w:tcW w:type="dxa" w:w="7595"/>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Meaning</w:t>
            </w:r>
          </w:p>
        </w:tc>
      </w:tr>
      <w:tr>
        <w:tc>
          <w:tcPr>
            <w:tcW w:type="dxa" w:w="2151"/>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Verified</w:t>
            </w:r>
          </w:p>
        </w:tc>
        <w:tc>
          <w:tcPr>
            <w:tcW w:type="dxa" w:w="759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Figure supplied from operational or system data and ready to submit</w:t>
            </w:r>
          </w:p>
        </w:tc>
      </w:tr>
      <w:tr>
        <w:tc>
          <w:tcPr>
            <w:tcW w:type="dxa" w:w="2151"/>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Derived</w:t>
            </w:r>
          </w:p>
        </w:tc>
        <w:tc>
          <w:tcPr>
            <w:tcW w:type="dxa" w:w="759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Calculated from a verified figure using the stated formula</w:t>
            </w:r>
          </w:p>
        </w:tc>
      </w:tr>
      <w:tr>
        <w:tc>
          <w:tcPr>
            <w:tcW w:type="dxa" w:w="2151"/>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Assumption</w:t>
            </w:r>
          </w:p>
        </w:tc>
        <w:tc>
          <w:tcPr>
            <w:tcW w:type="dxa" w:w="759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Rate or driver assumed for modelling, must be confirmed before submission</w:t>
            </w:r>
          </w:p>
        </w:tc>
      </w:tr>
      <w:tr>
        <w:tc>
          <w:tcPr>
            <w:tcW w:type="dxa" w:w="2151"/>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759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Figure required from Finance, Procurement or IT before submission</w:t>
            </w:r>
          </w:p>
        </w:tc>
      </w:tr>
    </w:tbl>
    <w:p>
      <w:pPr>
        <w:spacing w:after="180"/>
      </w:pPr>
      <w:r>
        <w:t xml:space="preserve"/>
      </w:r>
    </w:p>
    <w:p>
      <w:pPr>
        <w:spacing w:after="120" w:before="60" w:line="276"/>
        <w:jc w:val="left"/>
      </w:pPr>
      <w:r>
        <w:rPr>
          <w:rFonts w:ascii="Calibri" w:cs="Calibri" w:eastAsia="Calibri" w:hAnsi="Calibri"/>
          <w:sz w:val="21"/>
          <w:szCs w:val="21"/>
        </w:rPr>
        <w:t xml:space="preserve">Do not submit this entry with any </w:t>
      </w:r>
      <w:r>
        <w:rPr>
          <w:rFonts w:ascii="Consolas" w:cs="Consolas" w:eastAsia="Consolas" w:hAnsi="Consolas"/>
          <w:b/>
          <w:bCs/>
          <w:color w:val="C00000"/>
          <w:sz w:val="19"/>
          <w:szCs w:val="19"/>
        </w:rPr>
        <w:t xml:space="preserve">[CONFIRM]</w:t>
      </w:r>
      <w:r>
        <w:rPr>
          <w:rFonts w:ascii="Calibri" w:cs="Calibri" w:eastAsia="Calibri" w:hAnsi="Calibri"/>
          <w:sz w:val="21"/>
          <w:szCs w:val="21"/>
        </w:rPr>
        <w:t xml:space="preserve"> marker still open. Judges at Hotelier Middle East test claimed savings against evidence, and an unsupported number is a bigger risk to the entry than a smaller verified one.</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1. EXECUTIVE ENTRY SUMMARY</w:t>
      </w:r>
    </w:p>
    <w:p>
      <w:pPr>
        <w:spacing w:after="120" w:before="60" w:line="276"/>
        <w:jc w:val="left"/>
      </w:pPr>
      <w:r>
        <w:rPr>
          <w:rFonts w:ascii="Calibri" w:cs="Calibri" w:eastAsia="Calibri" w:hAnsi="Calibri"/>
          <w:sz w:val="21"/>
          <w:szCs w:val="21"/>
        </w:rPr>
        <w:t xml:space="preserve">In 2026 the IT function at this 200 key Abu Dhabi property stopped being a support cost and became a measurable contributor to profit, operational capacity and guest satisfaction. Four platforms were conceived, designed, built and deployed in house by the IT Manager, with no external development spend and no capital investment approval required. In parallel, a regional conflict that disrupted supply chains, connectivity and vendor pricing across the Gulf was converted from a cost shock into a structured cost reduction programme covering suppliers, connectivity and application licensing.</w:t>
      </w:r>
    </w:p>
    <w:p>
      <w:pPr>
        <w:spacing w:after="120" w:before="60" w:line="276"/>
        <w:jc w:val="left"/>
      </w:pPr>
      <w:r>
        <w:rPr>
          <w:rFonts w:ascii="Calibri" w:cs="Calibri" w:eastAsia="Calibri" w:hAnsi="Calibri"/>
          <w:sz w:val="21"/>
          <w:szCs w:val="21"/>
        </w:rPr>
        <w:t xml:space="preserve">Each of these outcomes was framed as a commercial decision before it was framed as a technical one, a discipline drawn directly from the MBA in Business Analytics and Strategic Management completed at Heriot-Watt University while holding a full time IT Manager role at an operating property.</w:t>
      </w:r>
    </w:p>
    <w:p>
      <w:pPr>
        <w:spacing w:after="120" w:before="60" w:line="276"/>
        <w:jc w:val="left"/>
      </w:pPr>
      <w:r>
        <w:rPr>
          <w:rFonts w:ascii="Calibri" w:cs="Calibri" w:eastAsia="Calibri" w:hAnsi="Calibri"/>
          <w:sz w:val="21"/>
          <w:szCs w:val="21"/>
        </w:rPr>
        <w:t xml:space="preserve">The result is a single integrated digital ecosystem rather than a portfolio of disconnected pilots. Autonomous service delivery, real time business intelligence, intelligent guest validation and digital stewarding operations feed one another and one reporting layer, which means every hour saved and every dirham avoided is visible to the General Manager on the same dashboard the next morning.</w:t>
      </w:r>
    </w:p>
    <w:p>
      <w:pPr>
        <w:spacing w:after="120" w:before="60" w:line="276"/>
        <w:jc w:val="left"/>
      </w:pPr>
      <w:r>
        <w:rPr>
          <w:rFonts w:ascii="Calibri" w:cs="Calibri" w:eastAsia="Calibri" w:hAnsi="Calibri"/>
          <w:b/>
          <w:bCs/>
          <w:sz w:val="21"/>
          <w:szCs w:val="21"/>
        </w:rPr>
        <w:t xml:space="preserve">Headline outcomes:</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5265"/>
        <w:gridCol w:w="2688"/>
        <w:gridCol w:w="1793"/>
      </w:tblGrid>
      <w:tr>
        <w:trPr>
          <w:tblHeader/>
        </w:trPr>
        <w:tc>
          <w:tcPr>
            <w:tcW w:type="dxa" w:w="5265"/>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Outcome</w:t>
            </w:r>
          </w:p>
        </w:tc>
        <w:tc>
          <w:tcPr>
            <w:tcW w:type="dxa" w:w="2688"/>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Value</w:t>
            </w:r>
          </w:p>
        </w:tc>
        <w:tc>
          <w:tcPr>
            <w:tcW w:type="dxa" w:w="1793"/>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Status</w:t>
            </w:r>
          </w:p>
        </w:tc>
      </w:tr>
      <w:tr>
        <w:tc>
          <w:tcPr>
            <w:tcW w:type="dxa" w:w="526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Guest satisfaction uplift during robot pilot</w:t>
            </w:r>
          </w:p>
        </w:tc>
        <w:tc>
          <w:tcPr>
            <w:tcW w:type="dxa" w:w="268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+10% (Medallia)</w:t>
            </w:r>
          </w:p>
        </w:tc>
        <w:tc>
          <w:tcPr>
            <w:tcW w:type="dxa" w:w="1793"/>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w:t>
            </w:r>
          </w:p>
        </w:tc>
      </w:tr>
      <w:tr>
        <w:tc>
          <w:tcPr>
            <w:tcW w:type="dxa" w:w="526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Annual payroll cost avoidance, service robot</w:t>
            </w:r>
          </w:p>
        </w:tc>
        <w:tc>
          <w:tcPr>
            <w:tcW w:type="dxa" w:w="2688"/>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Up to AED 19,200</w:t>
            </w:r>
          </w:p>
        </w:tc>
        <w:tc>
          <w:tcPr>
            <w:tcW w:type="dxa" w:w="1793"/>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w:t>
            </w:r>
          </w:p>
        </w:tc>
      </w:tr>
      <w:tr>
        <w:tc>
          <w:tcPr>
            <w:tcW w:type="dxa" w:w="526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Cost per autonomous guest delivery</w:t>
            </w:r>
          </w:p>
        </w:tc>
        <w:tc>
          <w:tcPr>
            <w:tcW w:type="dxa" w:w="268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AED 2.13</w:t>
            </w:r>
          </w:p>
        </w:tc>
        <w:tc>
          <w:tcPr>
            <w:tcW w:type="dxa" w:w="1793"/>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w:t>
            </w:r>
          </w:p>
        </w:tc>
      </w:tr>
      <w:tr>
        <w:tc>
          <w:tcPr>
            <w:tcW w:type="dxa" w:w="526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Executive reporting hours eliminated annually</w:t>
            </w:r>
          </w:p>
        </w:tc>
        <w:tc>
          <w:tcPr>
            <w:tcW w:type="dxa" w:w="2688"/>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240+ hours</w:t>
            </w:r>
          </w:p>
        </w:tc>
        <w:tc>
          <w:tcPr>
            <w:tcW w:type="dxa" w:w="1793"/>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w:t>
            </w:r>
          </w:p>
        </w:tc>
      </w:tr>
      <w:tr>
        <w:tc>
          <w:tcPr>
            <w:tcW w:type="dxa" w:w="526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Value of reporting hours released</w:t>
            </w:r>
          </w:p>
        </w:tc>
        <w:tc>
          <w:tcPr>
            <w:tcW w:type="dxa" w:w="268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AED 24,000 to AED 48,000</w:t>
            </w:r>
          </w:p>
        </w:tc>
        <w:tc>
          <w:tcPr>
            <w:tcW w:type="dxa" w:w="1793"/>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Assumption based</w:t>
            </w:r>
          </w:p>
        </w:tc>
      </w:tr>
      <w:tr>
        <w:tc>
          <w:tcPr>
            <w:tcW w:type="dxa" w:w="526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Stewarding App annual operating saving</w:t>
            </w:r>
          </w:p>
        </w:tc>
        <w:tc>
          <w:tcPr>
            <w:tcW w:type="dxa" w:w="2688"/>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1793"/>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526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Crisis period supplier and contract savings</w:t>
            </w:r>
          </w:p>
        </w:tc>
        <w:tc>
          <w:tcPr>
            <w:tcW w:type="dxa" w:w="2688"/>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1793"/>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526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Connectivity and telecom annual saving</w:t>
            </w:r>
          </w:p>
        </w:tc>
        <w:tc>
          <w:tcPr>
            <w:tcW w:type="dxa" w:w="2688"/>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1793"/>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526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Third party software licence cost avoided</w:t>
            </w:r>
          </w:p>
        </w:tc>
        <w:tc>
          <w:tcPr>
            <w:tcW w:type="dxa" w:w="2688"/>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1793"/>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526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External development cost avoided (4 platforms)</w:t>
            </w:r>
          </w:p>
        </w:tc>
        <w:tc>
          <w:tcPr>
            <w:tcW w:type="dxa" w:w="2688"/>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1793"/>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5265"/>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Total quantified annual benefit</w:t>
            </w:r>
          </w:p>
        </w:tc>
        <w:tc>
          <w:tcPr>
            <w:tcW w:type="dxa" w:w="2688"/>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`[CONFIRM: AED __]`</w:t>
            </w:r>
          </w:p>
        </w:tc>
        <w:tc>
          <w:tcPr>
            <w:tcW w:type="dxa" w:w="1793"/>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bl>
    <w:p>
      <w:pPr>
        <w:spacing w:after="180"/>
      </w:pPr>
      <w:r>
        <w:t xml:space="preserve"/>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2. PROGRAMME IMPACT AT A GLANCE</w:t>
      </w:r>
    </w:p>
    <w:p>
      <w:pPr>
        <w:spacing w:after="120" w:before="60" w:line="276"/>
        <w:jc w:val="left"/>
      </w:pPr>
      <w:r>
        <w:rPr>
          <w:rFonts w:ascii="Calibri" w:cs="Calibri" w:eastAsia="Calibri" w:hAnsi="Calibri"/>
          <w:sz w:val="21"/>
          <w:szCs w:val="21"/>
        </w:rPr>
        <w:t xml:space="preserve">Collectively the programme delivered measurable business outcomes across the hotel:</w:t>
      </w:r>
    </w:p>
    <w:p>
      <w:pPr>
        <w:pStyle w:val="ListParagraph"/>
        <w:numPr>
          <w:ilvl w:val="0"/>
          <w:numId w:val="2"/>
        </w:numPr>
        <w:spacing w:after="40" w:before="40"/>
      </w:pPr>
      <w:r>
        <w:rPr>
          <w:rFonts w:ascii="Calibri" w:cs="Calibri" w:eastAsia="Calibri" w:hAnsi="Calibri"/>
          <w:sz w:val="21"/>
          <w:szCs w:val="21"/>
        </w:rPr>
        <w:t xml:space="preserve">Increased guest satisfaction by </w:t>
      </w:r>
      <w:r>
        <w:rPr>
          <w:rFonts w:ascii="Calibri" w:cs="Calibri" w:eastAsia="Calibri" w:hAnsi="Calibri"/>
          <w:b/>
          <w:bCs/>
          <w:sz w:val="21"/>
          <w:szCs w:val="21"/>
        </w:rPr>
        <w:t xml:space="preserve">10%</w:t>
      </w:r>
      <w:r>
        <w:rPr>
          <w:rFonts w:ascii="Calibri" w:cs="Calibri" w:eastAsia="Calibri" w:hAnsi="Calibri"/>
          <w:sz w:val="21"/>
          <w:szCs w:val="21"/>
        </w:rPr>
        <w:t xml:space="preserve"> during the robot pilot, measured through Medallia guest surveys and supported by improvements in online review sentiment</w:t>
      </w:r>
    </w:p>
    <w:p>
      <w:pPr>
        <w:pStyle w:val="ListParagraph"/>
        <w:numPr>
          <w:ilvl w:val="0"/>
          <w:numId w:val="2"/>
        </w:numPr>
        <w:spacing w:after="40" w:before="40"/>
      </w:pPr>
      <w:r>
        <w:rPr>
          <w:rFonts w:ascii="Calibri" w:cs="Calibri" w:eastAsia="Calibri" w:hAnsi="Calibri"/>
          <w:sz w:val="21"/>
          <w:szCs w:val="21"/>
        </w:rPr>
        <w:t xml:space="preserve">Reduced operational cost by up to </w:t>
      </w:r>
      <w:r>
        <w:rPr>
          <w:rFonts w:ascii="Calibri" w:cs="Calibri" w:eastAsia="Calibri" w:hAnsi="Calibri"/>
          <w:b/>
          <w:bCs/>
          <w:sz w:val="21"/>
          <w:szCs w:val="21"/>
        </w:rPr>
        <w:t xml:space="preserve">AED 19,200 annually</w:t>
      </w:r>
      <w:r>
        <w:rPr>
          <w:rFonts w:ascii="Calibri" w:cs="Calibri" w:eastAsia="Calibri" w:hAnsi="Calibri"/>
          <w:sz w:val="21"/>
          <w:szCs w:val="21"/>
        </w:rPr>
        <w:t xml:space="preserve"> through intelligent service automation, at a locked monthly cost of </w:t>
      </w:r>
      <w:r>
        <w:rPr>
          <w:rFonts w:ascii="Calibri" w:cs="Calibri" w:eastAsia="Calibri" w:hAnsi="Calibri"/>
          <w:b/>
          <w:bCs/>
          <w:sz w:val="21"/>
          <w:szCs w:val="21"/>
        </w:rPr>
        <w:t xml:space="preserve">AED 2,900</w:t>
      </w:r>
    </w:p>
    <w:p>
      <w:pPr>
        <w:pStyle w:val="ListParagraph"/>
        <w:numPr>
          <w:ilvl w:val="0"/>
          <w:numId w:val="2"/>
        </w:numPr>
        <w:spacing w:after="40" w:before="40"/>
      </w:pPr>
      <w:r>
        <w:rPr>
          <w:rFonts w:ascii="Calibri" w:cs="Calibri" w:eastAsia="Calibri" w:hAnsi="Calibri"/>
          <w:sz w:val="21"/>
          <w:szCs w:val="21"/>
        </w:rPr>
        <w:t xml:space="preserve">Eliminated over </w:t>
      </w:r>
      <w:r>
        <w:rPr>
          <w:rFonts w:ascii="Calibri" w:cs="Calibri" w:eastAsia="Calibri" w:hAnsi="Calibri"/>
          <w:b/>
          <w:bCs/>
          <w:sz w:val="21"/>
          <w:szCs w:val="21"/>
        </w:rPr>
        <w:t xml:space="preserve">240 hours</w:t>
      </w:r>
      <w:r>
        <w:rPr>
          <w:rFonts w:ascii="Calibri" w:cs="Calibri" w:eastAsia="Calibri" w:hAnsi="Calibri"/>
          <w:sz w:val="21"/>
          <w:szCs w:val="21"/>
        </w:rPr>
        <w:t xml:space="preserve"> of executive reporting effort annually, worth </w:t>
      </w:r>
      <w:r>
        <w:rPr>
          <w:rFonts w:ascii="Calibri" w:cs="Calibri" w:eastAsia="Calibri" w:hAnsi="Calibri"/>
          <w:b/>
          <w:bCs/>
          <w:sz w:val="21"/>
          <w:szCs w:val="21"/>
        </w:rPr>
        <w:t xml:space="preserve">AED 24,000 to AED 48,000</w:t>
      </w:r>
      <w:r>
        <w:rPr>
          <w:rFonts w:ascii="Calibri" w:cs="Calibri" w:eastAsia="Calibri" w:hAnsi="Calibri"/>
          <w:sz w:val="21"/>
          <w:szCs w:val="21"/>
        </w:rPr>
        <w:t xml:space="preserve"> in released management capacity</w:t>
      </w:r>
    </w:p>
    <w:p>
      <w:pPr>
        <w:pStyle w:val="ListParagraph"/>
        <w:numPr>
          <w:ilvl w:val="0"/>
          <w:numId w:val="2"/>
        </w:numPr>
        <w:spacing w:after="40" w:before="40"/>
      </w:pPr>
      <w:r>
        <w:rPr>
          <w:rFonts w:ascii="Calibri" w:cs="Calibri" w:eastAsia="Calibri" w:hAnsi="Calibri"/>
          <w:sz w:val="21"/>
          <w:szCs w:val="21"/>
        </w:rPr>
        <w:t xml:space="preserve">Reduced Daily Revenue Report preparation by approximately </w:t>
      </w:r>
      <w:r>
        <w:rPr>
          <w:rFonts w:ascii="Calibri" w:cs="Calibri" w:eastAsia="Calibri" w:hAnsi="Calibri"/>
          <w:b/>
          <w:bCs/>
          <w:sz w:val="21"/>
          <w:szCs w:val="21"/>
        </w:rPr>
        <w:t xml:space="preserve">90%</w:t>
      </w:r>
      <w:r>
        <w:rPr>
          <w:rFonts w:ascii="Calibri" w:cs="Calibri" w:eastAsia="Calibri" w:hAnsi="Calibri"/>
          <w:sz w:val="21"/>
          <w:szCs w:val="21"/>
        </w:rPr>
        <w:t xml:space="preserve">, from 45 to 60 minutes to under 5 minutes per day</w:t>
      </w:r>
    </w:p>
    <w:p>
      <w:pPr>
        <w:pStyle w:val="ListParagraph"/>
        <w:numPr>
          <w:ilvl w:val="0"/>
          <w:numId w:val="2"/>
        </w:numPr>
        <w:spacing w:after="40" w:before="40"/>
      </w:pPr>
      <w:r>
        <w:rPr>
          <w:rFonts w:ascii="Calibri" w:cs="Calibri" w:eastAsia="Calibri" w:hAnsi="Calibri"/>
          <w:sz w:val="21"/>
          <w:szCs w:val="21"/>
        </w:rPr>
        <w:t xml:space="preserve">Digitised stewarding operations, removing </w:t>
      </w:r>
      <w:r>
        <w:rPr>
          <w:rFonts w:ascii="Consolas" w:cs="Consolas" w:eastAsia="Consolas" w:hAnsi="Consolas"/>
          <w:b/>
          <w:bCs/>
          <w:color w:val="C00000"/>
          <w:sz w:val="19"/>
          <w:szCs w:val="19"/>
        </w:rPr>
        <w:t xml:space="preserve">[CONFIRM: AED __]</w:t>
      </w:r>
      <w:r>
        <w:rPr>
          <w:rFonts w:ascii="Calibri" w:cs="Calibri" w:eastAsia="Calibri" w:hAnsi="Calibri"/>
          <w:sz w:val="21"/>
          <w:szCs w:val="21"/>
        </w:rPr>
        <w:t xml:space="preserve"> in annual breakage, chemical over consumption and casual labour cost</w:t>
      </w:r>
    </w:p>
    <w:p>
      <w:pPr>
        <w:pStyle w:val="ListParagraph"/>
        <w:numPr>
          <w:ilvl w:val="0"/>
          <w:numId w:val="2"/>
        </w:numPr>
        <w:spacing w:after="40" w:before="40"/>
      </w:pPr>
      <w:r>
        <w:rPr>
          <w:rFonts w:ascii="Calibri" w:cs="Calibri" w:eastAsia="Calibri" w:hAnsi="Calibri"/>
          <w:sz w:val="21"/>
          <w:szCs w:val="21"/>
        </w:rPr>
        <w:t xml:space="preserve">Protected the P&amp;L through a 2026 crisis response programme delivering </w:t>
      </w:r>
      <w:r>
        <w:rPr>
          <w:rFonts w:ascii="Consolas" w:cs="Consolas" w:eastAsia="Consolas" w:hAnsi="Consolas"/>
          <w:b/>
          <w:bCs/>
          <w:color w:val="C00000"/>
          <w:sz w:val="19"/>
          <w:szCs w:val="19"/>
        </w:rPr>
        <w:t xml:space="preserve">[CONFIRM: AED __]</w:t>
      </w:r>
      <w:r>
        <w:rPr>
          <w:rFonts w:ascii="Calibri" w:cs="Calibri" w:eastAsia="Calibri" w:hAnsi="Calibri"/>
          <w:sz w:val="21"/>
          <w:szCs w:val="21"/>
        </w:rPr>
        <w:t xml:space="preserve"> in supplier, connectivity and licensing savings without a single reduction in guest facing service standards</w:t>
      </w:r>
    </w:p>
    <w:p>
      <w:pPr>
        <w:pStyle w:val="ListParagraph"/>
        <w:numPr>
          <w:ilvl w:val="0"/>
          <w:numId w:val="2"/>
        </w:numPr>
        <w:spacing w:after="40" w:before="40"/>
      </w:pPr>
      <w:r>
        <w:rPr>
          <w:rFonts w:ascii="Calibri" w:cs="Calibri" w:eastAsia="Calibri" w:hAnsi="Calibri"/>
          <w:sz w:val="21"/>
          <w:szCs w:val="21"/>
        </w:rPr>
        <w:t xml:space="preserve">Delivered four enterprise grade platforms with </w:t>
      </w:r>
      <w:r>
        <w:rPr>
          <w:rFonts w:ascii="Calibri" w:cs="Calibri" w:eastAsia="Calibri" w:hAnsi="Calibri"/>
          <w:b/>
          <w:bCs/>
          <w:sz w:val="21"/>
          <w:szCs w:val="21"/>
        </w:rPr>
        <w:t xml:space="preserve">zero capital expenditure</w:t>
      </w:r>
      <w:r>
        <w:rPr>
          <w:rFonts w:ascii="Calibri" w:cs="Calibri" w:eastAsia="Calibri" w:hAnsi="Calibri"/>
          <w:sz w:val="21"/>
          <w:szCs w:val="21"/>
        </w:rPr>
        <w:t xml:space="preserve"> and </w:t>
      </w:r>
      <w:r>
        <w:rPr>
          <w:rFonts w:ascii="Calibri" w:cs="Calibri" w:eastAsia="Calibri" w:hAnsi="Calibri"/>
          <w:b/>
          <w:bCs/>
          <w:sz w:val="21"/>
          <w:szCs w:val="21"/>
        </w:rPr>
        <w:t xml:space="preserve">zero external development spend</w:t>
      </w:r>
    </w:p>
    <w:p>
      <w:pPr>
        <w:pStyle w:val="ListParagraph"/>
        <w:numPr>
          <w:ilvl w:val="0"/>
          <w:numId w:val="2"/>
        </w:numPr>
        <w:spacing w:after="40" w:before="40"/>
      </w:pPr>
      <w:r>
        <w:rPr>
          <w:rFonts w:ascii="Calibri" w:cs="Calibri" w:eastAsia="Calibri" w:hAnsi="Calibri"/>
          <w:sz w:val="21"/>
          <w:szCs w:val="21"/>
        </w:rPr>
        <w:t xml:space="preserve">Established a scalable innovation framework now adopted by InterContinental Abu Dhabi, with a second IHG property progressing to implementation</w:t>
      </w:r>
    </w:p>
    <w:p>
      <w:pPr>
        <w:pStyle w:val="ListParagraph"/>
        <w:numPr>
          <w:ilvl w:val="0"/>
          <w:numId w:val="2"/>
        </w:numPr>
        <w:spacing w:after="40" w:before="40"/>
      </w:pPr>
      <w:r>
        <w:rPr>
          <w:rFonts w:ascii="Calibri" w:cs="Calibri" w:eastAsia="Calibri" w:hAnsi="Calibri"/>
          <w:sz w:val="21"/>
          <w:szCs w:val="21"/>
        </w:rPr>
        <w:t xml:space="preserve">Completed an MBA in Business Analytics and Strategic Management at Heriot-Watt University while delivering the full programme in role, applying investment appraisal, strategic sourcing and cost of quality discipline to every initiative in this entry</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3. INTELLIGENT SERVICE ROBOT PROGRAMME</w:t>
      </w:r>
    </w:p>
    <w:p>
      <w:pPr>
        <w:pStyle w:val="Heading3"/>
        <w:spacing w:after="100" w:before="240"/>
      </w:pPr>
      <w:r>
        <w:rPr>
          <w:rFonts w:ascii="Calibri" w:cs="Calibri" w:eastAsia="Calibri" w:hAnsi="Calibri"/>
          <w:b/>
          <w:bCs/>
          <w:color w:val="1F3864"/>
          <w:sz w:val="22"/>
          <w:szCs w:val="22"/>
        </w:rPr>
        <w:t xml:space="preserve">How it was built</w:t>
      </w:r>
    </w:p>
    <w:p>
      <w:pPr>
        <w:spacing w:after="120" w:before="60" w:line="276"/>
        <w:jc w:val="left"/>
      </w:pPr>
      <w:r>
        <w:rPr>
          <w:rFonts w:ascii="Calibri" w:cs="Calibri" w:eastAsia="Calibri" w:hAnsi="Calibri"/>
          <w:sz w:val="21"/>
          <w:szCs w:val="21"/>
        </w:rPr>
        <w:t xml:space="preserve">Rather than treating autonomous service as a technology demonstration, the IT Manager led a structured commercial, technical and operational evaluation before any commitment was made. This included a full review of the vendor contract, a formal concerns register covering liability, service levels, data handling and exit terms, and a handover of findings to Finance for sign off. Only once that evaluation cleared did a 25 day live operational pilot proceed, with every delivery, timing and route logged automatically through the device performance dashboard rather than by manual tracking. Every operational, financial and guest experience metric was then compiled into a formal business case, which has since been presented to and adopted by InterContinental Abu Dhabi, with a second IHG property progressing toward implementation.</w:t>
      </w:r>
    </w:p>
    <w:p>
      <w:pPr>
        <w:pStyle w:val="Heading3"/>
        <w:spacing w:after="100" w:before="240"/>
      </w:pPr>
      <w:r>
        <w:rPr>
          <w:rFonts w:ascii="Calibri" w:cs="Calibri" w:eastAsia="Calibri" w:hAnsi="Calibri"/>
          <w:b/>
          <w:bCs/>
          <w:color w:val="1F3864"/>
          <w:sz w:val="22"/>
          <w:szCs w:val="22"/>
        </w:rPr>
        <w:t xml:space="preserve">Financial impact</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3270"/>
        <w:gridCol w:w="2550"/>
        <w:gridCol w:w="3926"/>
      </w:tblGrid>
      <w:tr>
        <w:trPr>
          <w:tblHeader/>
        </w:trPr>
        <w:tc>
          <w:tcPr>
            <w:tcW w:type="dxa" w:w="3270"/>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Line</w:t>
            </w:r>
          </w:p>
        </w:tc>
        <w:tc>
          <w:tcPr>
            <w:tcW w:type="dxa" w:w="2550"/>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Amount</w:t>
            </w:r>
          </w:p>
        </w:tc>
        <w:tc>
          <w:tcPr>
            <w:tcW w:type="dxa" w:w="3926"/>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Basis</w:t>
            </w:r>
          </w:p>
        </w:tc>
      </w:tr>
      <w:tr>
        <w:tc>
          <w:tcPr>
            <w:tcW w:type="dxa" w:w="327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Robot fixed monthly cost</w:t>
            </w:r>
          </w:p>
        </w:tc>
        <w:tc>
          <w:tcPr>
            <w:tcW w:type="dxa" w:w="255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AED 2,900</w:t>
            </w:r>
          </w:p>
        </w:tc>
        <w:tc>
          <w:tcPr>
            <w:tcW w:type="dxa" w:w="392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 contracted</w:t>
            </w:r>
          </w:p>
        </w:tc>
      </w:tr>
      <w:tr>
        <w:tc>
          <w:tcPr>
            <w:tcW w:type="dxa" w:w="327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Robot annual cost</w:t>
            </w:r>
          </w:p>
        </w:tc>
        <w:tc>
          <w:tcPr>
            <w:tcW w:type="dxa" w:w="255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AED 34,800</w:t>
            </w:r>
          </w:p>
        </w:tc>
        <w:tc>
          <w:tcPr>
            <w:tcW w:type="dxa" w:w="392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 (2,900 x 12)</w:t>
            </w:r>
          </w:p>
        </w:tc>
      </w:tr>
      <w:tr>
        <w:tc>
          <w:tcPr>
            <w:tcW w:type="dxa" w:w="327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Equivalent single shift service role, fully loaded</w:t>
            </w:r>
          </w:p>
        </w:tc>
        <w:tc>
          <w:tcPr>
            <w:tcW w:type="dxa" w:w="255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AED 3,500 to AED 4,500 per month</w:t>
            </w:r>
          </w:p>
        </w:tc>
        <w:tc>
          <w:tcPr>
            <w:tcW w:type="dxa" w:w="392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 estimate, includes accommodation, visa, insurance, annual leave, end of service and recruitment</w:t>
            </w:r>
          </w:p>
        </w:tc>
      </w:tr>
      <w:tr>
        <w:tc>
          <w:tcPr>
            <w:tcW w:type="dxa" w:w="327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Equivalent role annual cost</w:t>
            </w:r>
          </w:p>
        </w:tc>
        <w:tc>
          <w:tcPr>
            <w:tcW w:type="dxa" w:w="255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AED 42,000 to AED 54,000</w:t>
            </w:r>
          </w:p>
        </w:tc>
        <w:tc>
          <w:tcPr>
            <w:tcW w:type="dxa" w:w="392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w:t>
            </w:r>
          </w:p>
        </w:tc>
      </w:tr>
      <w:tr>
        <w:tc>
          <w:tcPr>
            <w:tcW w:type="dxa" w:w="3270"/>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Annual saving</w:t>
            </w:r>
          </w:p>
        </w:tc>
        <w:tc>
          <w:tcPr>
            <w:tcW w:type="dxa" w:w="2550"/>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AED 7,200 to AED 19,200</w:t>
            </w:r>
          </w:p>
        </w:tc>
        <w:tc>
          <w:tcPr>
            <w:tcW w:type="dxa" w:w="392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w:t>
            </w:r>
          </w:p>
        </w:tc>
      </w:tr>
      <w:tr>
        <w:tc>
          <w:tcPr>
            <w:tcW w:type="dxa" w:w="327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Cost per guest delivery, pilot</w:t>
            </w:r>
          </w:p>
        </w:tc>
        <w:tc>
          <w:tcPr>
            <w:tcW w:type="dxa" w:w="2550"/>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AED 2.13</w:t>
            </w:r>
          </w:p>
        </w:tc>
        <w:tc>
          <w:tcPr>
            <w:tcW w:type="dxa" w:w="392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 (AED 2,900 x 25/30 = AED 2,416.67, divided by 1,135 deliveries)</w:t>
            </w:r>
          </w:p>
        </w:tc>
      </w:tr>
      <w:tr>
        <w:tc>
          <w:tcPr>
            <w:tcW w:type="dxa" w:w="327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Annualised delivery volume at pilot run rate</w:t>
            </w:r>
          </w:p>
        </w:tc>
        <w:tc>
          <w:tcPr>
            <w:tcW w:type="dxa" w:w="255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16,425 deliveries</w:t>
            </w:r>
          </w:p>
        </w:tc>
        <w:tc>
          <w:tcPr>
            <w:tcW w:type="dxa" w:w="392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 (45 per day x 365)</w:t>
            </w:r>
          </w:p>
        </w:tc>
      </w:tr>
      <w:tr>
        <w:tc>
          <w:tcPr>
            <w:tcW w:type="dxa" w:w="327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Cost per delivery, annualised</w:t>
            </w:r>
          </w:p>
        </w:tc>
        <w:tc>
          <w:tcPr>
            <w:tcW w:type="dxa" w:w="2550"/>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AED 2.12</w:t>
            </w:r>
          </w:p>
        </w:tc>
        <w:tc>
          <w:tcPr>
            <w:tcW w:type="dxa" w:w="392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 (AED 34,800 / 16,425)</w:t>
            </w:r>
          </w:p>
        </w:tc>
      </w:tr>
      <w:tr>
        <w:tc>
          <w:tcPr>
            <w:tcW w:type="dxa" w:w="327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Turnover and rehire cost eliminated</w:t>
            </w:r>
          </w:p>
        </w:tc>
        <w:tc>
          <w:tcPr>
            <w:tcW w:type="dxa" w:w="2550"/>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per replacement cycle</w:t>
            </w:r>
          </w:p>
        </w:tc>
        <w:tc>
          <w:tcPr>
            <w:tcW w:type="dxa" w:w="392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HR</w:t>
            </w:r>
          </w:p>
        </w:tc>
      </w:tr>
    </w:tbl>
    <w:p>
      <w:pPr>
        <w:spacing w:after="180"/>
      </w:pPr>
      <w:r>
        <w:t xml:space="preserve"/>
      </w:r>
    </w:p>
    <w:p>
      <w:pPr>
        <w:spacing w:after="120" w:before="60" w:line="276"/>
        <w:jc w:val="left"/>
      </w:pPr>
      <w:r>
        <w:rPr>
          <w:rFonts w:ascii="Calibri" w:cs="Calibri" w:eastAsia="Calibri" w:hAnsi="Calibri"/>
          <w:sz w:val="21"/>
          <w:szCs w:val="21"/>
        </w:rPr>
        <w:t xml:space="preserve">The critical commercial point for judges: the AED 3,500 to AED 4,500 human equivalent covers </w:t>
      </w:r>
      <w:r>
        <w:rPr>
          <w:rFonts w:ascii="Calibri" w:cs="Calibri" w:eastAsia="Calibri" w:hAnsi="Calibri"/>
          <w:b/>
          <w:bCs/>
          <w:sz w:val="21"/>
          <w:szCs w:val="21"/>
        </w:rPr>
        <w:t xml:space="preserve">one shift only</w:t>
      </w:r>
      <w:r>
        <w:rPr>
          <w:rFonts w:ascii="Calibri" w:cs="Calibri" w:eastAsia="Calibri" w:hAnsi="Calibri"/>
          <w:sz w:val="21"/>
          <w:szCs w:val="21"/>
        </w:rPr>
        <w:t xml:space="preserve">, while the robot operates continuously. On a like for like coverage basis the avoided cost is materially higher than the headline AED 19,200, and that gap should be stated using the property actual multi shift cost </w:t>
      </w:r>
      <w:r>
        <w:rPr>
          <w:rFonts w:ascii="Consolas" w:cs="Consolas" w:eastAsia="Consolas" w:hAnsi="Consolas"/>
          <w:b/>
          <w:bCs/>
          <w:color w:val="C00000"/>
          <w:sz w:val="19"/>
          <w:szCs w:val="19"/>
        </w:rPr>
        <w:t xml:space="preserve">[CONFIRM: AED __]</w:t>
      </w:r>
      <w:r>
        <w:rPr>
          <w:rFonts w:ascii="Calibri" w:cs="Calibri" w:eastAsia="Calibri" w:hAnsi="Calibri"/>
          <w:sz w:val="21"/>
          <w:szCs w:val="21"/>
        </w:rPr>
        <w:t xml:space="preserve">.</w:t>
      </w:r>
    </w:p>
    <w:p>
      <w:pPr>
        <w:pStyle w:val="Heading3"/>
        <w:spacing w:after="100" w:before="240"/>
      </w:pPr>
      <w:r>
        <w:rPr>
          <w:rFonts w:ascii="Calibri" w:cs="Calibri" w:eastAsia="Calibri" w:hAnsi="Calibri"/>
          <w:b/>
          <w:bCs/>
          <w:color w:val="1F3864"/>
          <w:sz w:val="22"/>
          <w:szCs w:val="22"/>
        </w:rPr>
        <w:t xml:space="preserve">Operational impact</w:t>
      </w:r>
    </w:p>
    <w:p>
      <w:pPr>
        <w:spacing w:after="120" w:before="60" w:line="276"/>
        <w:jc w:val="left"/>
      </w:pPr>
      <w:r>
        <w:rPr>
          <w:rFonts w:ascii="Calibri" w:cs="Calibri" w:eastAsia="Calibri" w:hAnsi="Calibri"/>
          <w:sz w:val="21"/>
          <w:szCs w:val="21"/>
        </w:rPr>
        <w:t xml:space="preserve">Between 5 and 29 June 2026 the robot completed </w:t>
      </w:r>
      <w:r>
        <w:rPr>
          <w:rFonts w:ascii="Calibri" w:cs="Calibri" w:eastAsia="Calibri" w:hAnsi="Calibri"/>
          <w:b/>
          <w:bCs/>
          <w:sz w:val="21"/>
          <w:szCs w:val="21"/>
        </w:rPr>
        <w:t xml:space="preserve">1,135 guest deliveries</w:t>
      </w:r>
      <w:r>
        <w:rPr>
          <w:rFonts w:ascii="Calibri" w:cs="Calibri" w:eastAsia="Calibri" w:hAnsi="Calibri"/>
          <w:sz w:val="21"/>
          <w:szCs w:val="21"/>
        </w:rPr>
        <w:t xml:space="preserve">, averaging </w:t>
      </w:r>
      <w:r>
        <w:rPr>
          <w:rFonts w:ascii="Calibri" w:cs="Calibri" w:eastAsia="Calibri" w:hAnsi="Calibri"/>
          <w:b/>
          <w:bCs/>
          <w:sz w:val="21"/>
          <w:szCs w:val="21"/>
        </w:rPr>
        <w:t xml:space="preserve">45 per day</w:t>
      </w:r>
      <w:r>
        <w:rPr>
          <w:rFonts w:ascii="Calibri" w:cs="Calibri" w:eastAsia="Calibri" w:hAnsi="Calibri"/>
          <w:sz w:val="21"/>
          <w:szCs w:val="21"/>
        </w:rPr>
        <w:t xml:space="preserve">, across </w:t>
      </w:r>
      <w:r>
        <w:rPr>
          <w:rFonts w:ascii="Calibri" w:cs="Calibri" w:eastAsia="Calibri" w:hAnsi="Calibri"/>
          <w:b/>
          <w:bCs/>
          <w:sz w:val="21"/>
          <w:szCs w:val="21"/>
        </w:rPr>
        <w:t xml:space="preserve">94 hours</w:t>
      </w:r>
      <w:r>
        <w:rPr>
          <w:rFonts w:ascii="Calibri" w:cs="Calibri" w:eastAsia="Calibri" w:hAnsi="Calibri"/>
          <w:sz w:val="21"/>
          <w:szCs w:val="21"/>
        </w:rPr>
        <w:t xml:space="preserve"> of active operation and </w:t>
      </w:r>
      <w:r>
        <w:rPr>
          <w:rFonts w:ascii="Calibri" w:cs="Calibri" w:eastAsia="Calibri" w:hAnsi="Calibri"/>
          <w:b/>
          <w:bCs/>
          <w:sz w:val="21"/>
          <w:szCs w:val="21"/>
        </w:rPr>
        <w:t xml:space="preserve">37.4 kilometres</w:t>
      </w:r>
      <w:r>
        <w:rPr>
          <w:rFonts w:ascii="Calibri" w:cs="Calibri" w:eastAsia="Calibri" w:hAnsi="Calibri"/>
          <w:sz w:val="21"/>
          <w:szCs w:val="21"/>
        </w:rPr>
        <w:t xml:space="preserve"> travelled, with a </w:t>
      </w:r>
      <w:r>
        <w:rPr>
          <w:rFonts w:ascii="Calibri" w:cs="Calibri" w:eastAsia="Calibri" w:hAnsi="Calibri"/>
          <w:b/>
          <w:bCs/>
          <w:sz w:val="21"/>
          <w:szCs w:val="21"/>
        </w:rPr>
        <w:t xml:space="preserve">99.8% delivery completion rate</w:t>
      </w:r>
      <w:r>
        <w:rPr>
          <w:rFonts w:ascii="Calibri" w:cs="Calibri" w:eastAsia="Calibri" w:hAnsi="Calibri"/>
          <w:sz w:val="21"/>
          <w:szCs w:val="21"/>
        </w:rPr>
        <w:t xml:space="preserve">. Demand rose steadily through the pilot to a peak of </w:t>
      </w:r>
      <w:r>
        <w:rPr>
          <w:rFonts w:ascii="Calibri" w:cs="Calibri" w:eastAsia="Calibri" w:hAnsi="Calibri"/>
          <w:b/>
          <w:bCs/>
          <w:sz w:val="21"/>
          <w:szCs w:val="21"/>
        </w:rPr>
        <w:t xml:space="preserve">94 deliveries in a single day</w:t>
      </w:r>
      <w:r>
        <w:rPr>
          <w:rFonts w:ascii="Calibri" w:cs="Calibri" w:eastAsia="Calibri" w:hAnsi="Calibri"/>
          <w:sz w:val="21"/>
          <w:szCs w:val="21"/>
        </w:rPr>
        <w:t xml:space="preserve">. The robot consistently absorbed workload in the two busiest operating windows, 12:00 to 17:00 and 21:00 to 24:00, proving that autonomous delivery adds operational capacity without adding payroll.</w:t>
      </w:r>
    </w:p>
    <w:p>
      <w:pPr>
        <w:pStyle w:val="Heading3"/>
        <w:spacing w:after="100" w:before="240"/>
      </w:pPr>
      <w:r>
        <w:rPr>
          <w:rFonts w:ascii="Calibri" w:cs="Calibri" w:eastAsia="Calibri" w:hAnsi="Calibri"/>
          <w:b/>
          <w:bCs/>
          <w:color w:val="1F3864"/>
          <w:sz w:val="22"/>
          <w:szCs w:val="22"/>
        </w:rPr>
        <w:t xml:space="preserve">Guest experience impact</w:t>
      </w:r>
    </w:p>
    <w:p>
      <w:pPr>
        <w:spacing w:after="120" w:before="60" w:line="276"/>
        <w:jc w:val="left"/>
      </w:pPr>
      <w:r>
        <w:rPr>
          <w:rFonts w:ascii="Calibri" w:cs="Calibri" w:eastAsia="Calibri" w:hAnsi="Calibri"/>
          <w:sz w:val="21"/>
          <w:szCs w:val="21"/>
        </w:rPr>
        <w:t xml:space="preserve">Guest satisfaction increased by </w:t>
      </w:r>
      <w:r>
        <w:rPr>
          <w:rFonts w:ascii="Calibri" w:cs="Calibri" w:eastAsia="Calibri" w:hAnsi="Calibri"/>
          <w:b/>
          <w:bCs/>
          <w:sz w:val="21"/>
          <w:szCs w:val="21"/>
        </w:rPr>
        <w:t xml:space="preserve">10%</w:t>
      </w:r>
      <w:r>
        <w:rPr>
          <w:rFonts w:ascii="Calibri" w:cs="Calibri" w:eastAsia="Calibri" w:hAnsi="Calibri"/>
          <w:sz w:val="21"/>
          <w:szCs w:val="21"/>
        </w:rPr>
        <w:t xml:space="preserve"> during the pilot, evidenced by Medallia survey results and positive online guest reviews. Beyond faster delivery, guests actively engaged with the robot as part of their stay, creating memorable moments while releasing colleagues to spend more time on personalised service.</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4. EXECUTIVE BUSINESS INTELLIGENCE PLATFORM AND AUTOMATED REVENUE REPORTING</w:t>
      </w:r>
    </w:p>
    <w:p>
      <w:pPr>
        <w:pStyle w:val="Heading3"/>
        <w:spacing w:after="100" w:before="240"/>
      </w:pPr>
      <w:r>
        <w:rPr>
          <w:rFonts w:ascii="Calibri" w:cs="Calibri" w:eastAsia="Calibri" w:hAnsi="Calibri"/>
          <w:b/>
          <w:bCs/>
          <w:color w:val="1F3864"/>
          <w:sz w:val="22"/>
          <w:szCs w:val="22"/>
        </w:rPr>
        <w:t xml:space="preserve">How it was built</w:t>
      </w:r>
    </w:p>
    <w:p>
      <w:pPr>
        <w:spacing w:after="120" w:before="60" w:line="276"/>
        <w:jc w:val="left"/>
      </w:pPr>
      <w:r>
        <w:rPr>
          <w:rFonts w:ascii="Calibri" w:cs="Calibri" w:eastAsia="Calibri" w:hAnsi="Calibri"/>
          <w:sz w:val="21"/>
          <w:szCs w:val="21"/>
        </w:rPr>
        <w:t xml:space="preserve">The hotel Daily Revenue Report previously depended on manually processing legacy Excel (.xlsm) files that standard Business Intelligence connectors could not read. Instead of forcing Finance to change its process or its format, the IT Manager engineered a custom data extraction solution using browser based parsing that reads the legacy files directly and automatically feeds a live executive Power BI dashboard covering the full 200 room operation. Because the underlying reporting format did not change, Finance adopted it with no disruption to existing controls or workflows and no re training cost.</w:t>
      </w:r>
    </w:p>
    <w:p>
      <w:pPr>
        <w:pStyle w:val="Heading3"/>
        <w:spacing w:after="100" w:before="240"/>
      </w:pPr>
      <w:r>
        <w:rPr>
          <w:rFonts w:ascii="Calibri" w:cs="Calibri" w:eastAsia="Calibri" w:hAnsi="Calibri"/>
          <w:b/>
          <w:bCs/>
          <w:color w:val="1F3864"/>
          <w:sz w:val="22"/>
          <w:szCs w:val="22"/>
        </w:rPr>
        <w:t xml:space="preserve">Financial impact</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4257"/>
        <w:gridCol w:w="2460"/>
        <w:gridCol w:w="3029"/>
      </w:tblGrid>
      <w:tr>
        <w:trPr>
          <w:tblHeader/>
        </w:trPr>
        <w:tc>
          <w:tcPr>
            <w:tcW w:type="dxa" w:w="4257"/>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Line</w:t>
            </w:r>
          </w:p>
        </w:tc>
        <w:tc>
          <w:tcPr>
            <w:tcW w:type="dxa" w:w="2460"/>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Amount</w:t>
            </w:r>
          </w:p>
        </w:tc>
        <w:tc>
          <w:tcPr>
            <w:tcW w:type="dxa" w:w="3029"/>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Basis</w:t>
            </w:r>
          </w:p>
        </w:tc>
      </w:tr>
      <w:tr>
        <w:tc>
          <w:tcPr>
            <w:tcW w:type="dxa" w:w="4257"/>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Daily preparation time before</w:t>
            </w:r>
          </w:p>
        </w:tc>
        <w:tc>
          <w:tcPr>
            <w:tcW w:type="dxa" w:w="246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45 to 60 minutes</w:t>
            </w:r>
          </w:p>
        </w:tc>
        <w:tc>
          <w:tcPr>
            <w:tcW w:type="dxa" w:w="30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w:t>
            </w:r>
          </w:p>
        </w:tc>
      </w:tr>
      <w:tr>
        <w:tc>
          <w:tcPr>
            <w:tcW w:type="dxa" w:w="4257"/>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Daily preparation time after</w:t>
            </w:r>
          </w:p>
        </w:tc>
        <w:tc>
          <w:tcPr>
            <w:tcW w:type="dxa" w:w="246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Under 5 minutes</w:t>
            </w:r>
          </w:p>
        </w:tc>
        <w:tc>
          <w:tcPr>
            <w:tcW w:type="dxa" w:w="30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w:t>
            </w:r>
          </w:p>
        </w:tc>
      </w:tr>
      <w:tr>
        <w:tc>
          <w:tcPr>
            <w:tcW w:type="dxa" w:w="4257"/>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Reduction in preparation effort</w:t>
            </w:r>
          </w:p>
        </w:tc>
        <w:tc>
          <w:tcPr>
            <w:tcW w:type="dxa" w:w="246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Approximately 90%</w:t>
            </w:r>
          </w:p>
        </w:tc>
        <w:tc>
          <w:tcPr>
            <w:tcW w:type="dxa" w:w="30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w:t>
            </w:r>
          </w:p>
        </w:tc>
      </w:tr>
      <w:tr>
        <w:tc>
          <w:tcPr>
            <w:tcW w:type="dxa" w:w="4257"/>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Management hours released annually</w:t>
            </w:r>
          </w:p>
        </w:tc>
        <w:tc>
          <w:tcPr>
            <w:tcW w:type="dxa" w:w="246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240+ hours</w:t>
            </w:r>
          </w:p>
        </w:tc>
        <w:tc>
          <w:tcPr>
            <w:tcW w:type="dxa" w:w="30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w:t>
            </w:r>
          </w:p>
        </w:tc>
      </w:tr>
      <w:tr>
        <w:tc>
          <w:tcPr>
            <w:tcW w:type="dxa" w:w="4257"/>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Value at AED 100 per management hour</w:t>
            </w:r>
          </w:p>
        </w:tc>
        <w:tc>
          <w:tcPr>
            <w:tcW w:type="dxa" w:w="246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AED 24,000</w:t>
            </w:r>
          </w:p>
        </w:tc>
        <w:tc>
          <w:tcPr>
            <w:tcW w:type="dxa" w:w="30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Assumption</w:t>
            </w:r>
          </w:p>
        </w:tc>
      </w:tr>
      <w:tr>
        <w:tc>
          <w:tcPr>
            <w:tcW w:type="dxa" w:w="4257"/>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Value at AED 150 per management hour</w:t>
            </w:r>
          </w:p>
        </w:tc>
        <w:tc>
          <w:tcPr>
            <w:tcW w:type="dxa" w:w="246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AED 36,000</w:t>
            </w:r>
          </w:p>
        </w:tc>
        <w:tc>
          <w:tcPr>
            <w:tcW w:type="dxa" w:w="30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Assumption</w:t>
            </w:r>
          </w:p>
        </w:tc>
      </w:tr>
      <w:tr>
        <w:tc>
          <w:tcPr>
            <w:tcW w:type="dxa" w:w="4257"/>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Value at AED 200 per management hour</w:t>
            </w:r>
          </w:p>
        </w:tc>
        <w:tc>
          <w:tcPr>
            <w:tcW w:type="dxa" w:w="246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AED 48,000</w:t>
            </w:r>
          </w:p>
        </w:tc>
        <w:tc>
          <w:tcPr>
            <w:tcW w:type="dxa" w:w="30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Assumption</w:t>
            </w:r>
          </w:p>
        </w:tc>
      </w:tr>
      <w:tr>
        <w:tc>
          <w:tcPr>
            <w:tcW w:type="dxa" w:w="4257"/>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Commercial BI licence or vendor build avoided</w:t>
            </w:r>
          </w:p>
        </w:tc>
        <w:tc>
          <w:tcPr>
            <w:tcW w:type="dxa" w:w="2460"/>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30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IT and Procurement</w:t>
            </w:r>
          </w:p>
        </w:tc>
      </w:tr>
      <w:tr>
        <w:tc>
          <w:tcPr>
            <w:tcW w:type="dxa" w:w="4257"/>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External development cost avoided</w:t>
            </w:r>
          </w:p>
        </w:tc>
        <w:tc>
          <w:tcPr>
            <w:tcW w:type="dxa" w:w="2460"/>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one off</w:t>
            </w:r>
          </w:p>
        </w:tc>
        <w:tc>
          <w:tcPr>
            <w:tcW w:type="dxa" w:w="30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bl>
    <w:p>
      <w:pPr>
        <w:spacing w:after="180"/>
      </w:pPr>
      <w:r>
        <w:t xml:space="preserve"/>
      </w:r>
    </w:p>
    <w:p>
      <w:pPr>
        <w:spacing w:after="120" w:before="60" w:line="276"/>
        <w:jc w:val="left"/>
      </w:pPr>
      <w:r>
        <w:rPr>
          <w:rFonts w:ascii="Calibri" w:cs="Calibri" w:eastAsia="Calibri" w:hAnsi="Calibri"/>
          <w:sz w:val="21"/>
          <w:szCs w:val="21"/>
        </w:rPr>
        <w:t xml:space="preserve">Confirm the fully loaded hourly rate for the Finance, Revenue and Executive population with HR, then submit the single resulting figure rather than the range.</w:t>
      </w:r>
    </w:p>
    <w:p>
      <w:pPr>
        <w:pStyle w:val="Heading3"/>
        <w:spacing w:after="100" w:before="240"/>
      </w:pPr>
      <w:r>
        <w:rPr>
          <w:rFonts w:ascii="Calibri" w:cs="Calibri" w:eastAsia="Calibri" w:hAnsi="Calibri"/>
          <w:b/>
          <w:bCs/>
          <w:color w:val="1F3864"/>
          <w:sz w:val="22"/>
          <w:szCs w:val="22"/>
        </w:rPr>
        <w:t xml:space="preserve">Operational impact</w:t>
      </w:r>
    </w:p>
    <w:p>
      <w:pPr>
        <w:spacing w:after="120" w:before="60" w:line="276"/>
        <w:jc w:val="left"/>
      </w:pPr>
      <w:r>
        <w:rPr>
          <w:rFonts w:ascii="Calibri" w:cs="Calibri" w:eastAsia="Calibri" w:hAnsi="Calibri"/>
          <w:sz w:val="21"/>
          <w:szCs w:val="21"/>
        </w:rPr>
        <w:t xml:space="preserve">The dashboard is now the single source of operational intelligence for the property and is used daily by the General Manager, Finance, Revenue Management, Operations and all Department Heads. Manual spreadsheet consolidation has been eliminated, reporting accuracy has improved, and executives receive live intelligence every morning through interactive dashboards instead of static spreadsheets. Managers explore occupancy, ADR, RevPAR, departmental revenue and forecast data independently without raising requests to Finance or IT, which has materially shortened commercial decision cycles.</w:t>
      </w:r>
    </w:p>
    <w:p>
      <w:pPr>
        <w:pStyle w:val="Heading3"/>
        <w:spacing w:after="100" w:before="240"/>
      </w:pPr>
      <w:r>
        <w:rPr>
          <w:rFonts w:ascii="Calibri" w:cs="Calibri" w:eastAsia="Calibri" w:hAnsi="Calibri"/>
          <w:b/>
          <w:bCs/>
          <w:color w:val="1F3864"/>
          <w:sz w:val="22"/>
          <w:szCs w:val="22"/>
        </w:rPr>
        <w:t xml:space="preserve">Guest experience impact</w:t>
      </w:r>
    </w:p>
    <w:p>
      <w:pPr>
        <w:spacing w:after="120" w:before="60" w:line="276"/>
        <w:jc w:val="left"/>
      </w:pPr>
      <w:r>
        <w:rPr>
          <w:rFonts w:ascii="Calibri" w:cs="Calibri" w:eastAsia="Calibri" w:hAnsi="Calibri"/>
          <w:sz w:val="21"/>
          <w:szCs w:val="21"/>
        </w:rPr>
        <w:t xml:space="preserve">Real time occupancy and revenue visibility allows Housekeeping, Front Office, Engineering and Food and Beverage to set staffing levels and allocate resources </w:t>
      </w:r>
      <w:r>
        <w:rPr>
          <w:rFonts w:ascii="Calibri" w:cs="Calibri" w:eastAsia="Calibri" w:hAnsi="Calibri"/>
          <w:b/>
          <w:bCs/>
          <w:sz w:val="21"/>
          <w:szCs w:val="21"/>
        </w:rPr>
        <w:t xml:space="preserve">before</w:t>
      </w:r>
      <w:r>
        <w:rPr>
          <w:rFonts w:ascii="Calibri" w:cs="Calibri" w:eastAsia="Calibri" w:hAnsi="Calibri"/>
          <w:sz w:val="21"/>
          <w:szCs w:val="21"/>
        </w:rPr>
        <w:t xml:space="preserve"> peak demand arrives rather than reacting to it. Service standards are therefore protected on high occupancy days, which is where guest satisfaction is most exposed.</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5. F&amp;B ASSIST INTELLIGENT GUEST VALIDATION PLATFORM</w:t>
      </w:r>
    </w:p>
    <w:p>
      <w:pPr>
        <w:pStyle w:val="Heading3"/>
        <w:spacing w:after="100" w:before="240"/>
      </w:pPr>
      <w:r>
        <w:rPr>
          <w:rFonts w:ascii="Calibri" w:cs="Calibri" w:eastAsia="Calibri" w:hAnsi="Calibri"/>
          <w:b/>
          <w:bCs/>
          <w:color w:val="1F3864"/>
          <w:sz w:val="22"/>
          <w:szCs w:val="22"/>
        </w:rPr>
        <w:t xml:space="preserve">How it was built</w:t>
      </w:r>
    </w:p>
    <w:p>
      <w:pPr>
        <w:spacing w:after="120" w:before="60" w:line="276"/>
        <w:jc w:val="left"/>
      </w:pPr>
      <w:r>
        <w:rPr>
          <w:rFonts w:ascii="Calibri" w:cs="Calibri" w:eastAsia="Calibri" w:hAnsi="Calibri"/>
          <w:sz w:val="21"/>
          <w:szCs w:val="21"/>
        </w:rPr>
        <w:t xml:space="preserve">The IT Manager developed the F&amp;B Assist App to modernise Food and Beverage guest validation. Restaurant colleagues validate guests instantly by room key card tap or room number entry, while the application displays meal plans, IHG One Rewards membership status, dining entitlements and guest preferences in real time. The platform integrates directly with the property Business Intelligence environment, giving management centralised reporting across all participating outlets. Rollout was phased: back office configuration and system integration first, then colleague training ahead of go live, so there was no disruption to guest service at any point.</w:t>
      </w:r>
    </w:p>
    <w:p>
      <w:pPr>
        <w:pStyle w:val="Heading3"/>
        <w:spacing w:after="100" w:before="240"/>
      </w:pPr>
      <w:r>
        <w:rPr>
          <w:rFonts w:ascii="Calibri" w:cs="Calibri" w:eastAsia="Calibri" w:hAnsi="Calibri"/>
          <w:b/>
          <w:bCs/>
          <w:color w:val="1F3864"/>
          <w:sz w:val="22"/>
          <w:szCs w:val="22"/>
        </w:rPr>
        <w:t xml:space="preserve">Financial impact</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3586"/>
        <w:gridCol w:w="2105"/>
        <w:gridCol w:w="4055"/>
      </w:tblGrid>
      <w:tr>
        <w:trPr>
          <w:tblHeader/>
        </w:trPr>
        <w:tc>
          <w:tcPr>
            <w:tcW w:type="dxa" w:w="3586"/>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Line</w:t>
            </w:r>
          </w:p>
        </w:tc>
        <w:tc>
          <w:tcPr>
            <w:tcW w:type="dxa" w:w="2105"/>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Amount</w:t>
            </w:r>
          </w:p>
        </w:tc>
        <w:tc>
          <w:tcPr>
            <w:tcW w:type="dxa" w:w="4055"/>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Basis</w:t>
            </w:r>
          </w:p>
        </w:tc>
      </w:tr>
      <w:tr>
        <w:tc>
          <w:tcPr>
            <w:tcW w:type="dxa" w:w="358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Validation time before</w:t>
            </w:r>
          </w:p>
        </w:tc>
        <w:tc>
          <w:tcPr>
            <w:tcW w:type="dxa" w:w="210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60 to 120 seconds per guest</w:t>
            </w:r>
          </w:p>
        </w:tc>
        <w:tc>
          <w:tcPr>
            <w:tcW w:type="dxa" w:w="405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w:t>
            </w:r>
          </w:p>
        </w:tc>
      </w:tr>
      <w:tr>
        <w:tc>
          <w:tcPr>
            <w:tcW w:type="dxa" w:w="358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Validation time after</w:t>
            </w:r>
          </w:p>
        </w:tc>
        <w:tc>
          <w:tcPr>
            <w:tcW w:type="dxa" w:w="210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Under 10 seconds per guest</w:t>
            </w:r>
          </w:p>
        </w:tc>
        <w:tc>
          <w:tcPr>
            <w:tcW w:type="dxa" w:w="405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Verified</w:t>
            </w:r>
          </w:p>
        </w:tc>
      </w:tr>
      <w:tr>
        <w:tc>
          <w:tcPr>
            <w:tcW w:type="dxa" w:w="358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Daily covers across participating outlets</w:t>
            </w:r>
          </w:p>
        </w:tc>
        <w:tc>
          <w:tcPr>
            <w:tcW w:type="dxa" w:w="2105"/>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 covers]</w:t>
            </w:r>
          </w:p>
        </w:tc>
        <w:tc>
          <w:tcPr>
            <w:tcW w:type="dxa" w:w="405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F&amp;B</w:t>
            </w:r>
          </w:p>
        </w:tc>
      </w:tr>
      <w:tr>
        <w:tc>
          <w:tcPr>
            <w:tcW w:type="dxa" w:w="358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Historic mis validation or leakage rate</w:t>
            </w:r>
          </w:p>
        </w:tc>
        <w:tc>
          <w:tcPr>
            <w:tcW w:type="dxa" w:w="2105"/>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w:t>
            </w:r>
          </w:p>
        </w:tc>
        <w:tc>
          <w:tcPr>
            <w:tcW w:type="dxa" w:w="405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Finance audit</w:t>
            </w:r>
          </w:p>
        </w:tc>
      </w:tr>
      <w:tr>
        <w:tc>
          <w:tcPr>
            <w:tcW w:type="dxa" w:w="358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Average value per affected cover</w:t>
            </w:r>
          </w:p>
        </w:tc>
        <w:tc>
          <w:tcPr>
            <w:tcW w:type="dxa" w:w="2105"/>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405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F&amp;B</w:t>
            </w:r>
          </w:p>
        </w:tc>
      </w:tr>
      <w:tr>
        <w:tc>
          <w:tcPr>
            <w:tcW w:type="dxa" w:w="3586"/>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Annual revenue leakage now controlled</w:t>
            </w:r>
          </w:p>
        </w:tc>
        <w:tc>
          <w:tcPr>
            <w:tcW w:type="dxa" w:w="2105"/>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`[CONFIRM: AED __]`</w:t>
            </w:r>
          </w:p>
        </w:tc>
        <w:tc>
          <w:tcPr>
            <w:tcW w:type="dxa" w:w="405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Formula: covers x leakage rate x average value x 365</w:t>
            </w:r>
          </w:p>
        </w:tc>
      </w:tr>
      <w:tr>
        <w:tc>
          <w:tcPr>
            <w:tcW w:type="dxa" w:w="358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Printed guest list and stationery cost removed</w:t>
            </w:r>
          </w:p>
        </w:tc>
        <w:tc>
          <w:tcPr>
            <w:tcW w:type="dxa" w:w="2105"/>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4055"/>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358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Colleague time released per outlet per day</w:t>
            </w:r>
          </w:p>
        </w:tc>
        <w:tc>
          <w:tcPr>
            <w:tcW w:type="dxa" w:w="2105"/>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 hours]</w:t>
            </w:r>
          </w:p>
        </w:tc>
        <w:tc>
          <w:tcPr>
            <w:tcW w:type="dxa" w:w="4055"/>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 from covers x 60 seconds saved</w:t>
            </w:r>
          </w:p>
        </w:tc>
      </w:tr>
    </w:tbl>
    <w:p>
      <w:pPr>
        <w:spacing w:after="180"/>
      </w:pPr>
      <w:r>
        <w:t xml:space="preserve"/>
      </w:r>
    </w:p>
    <w:p>
      <w:pPr>
        <w:spacing w:after="120" w:before="60" w:line="276"/>
        <w:jc w:val="left"/>
      </w:pPr>
      <w:r>
        <w:rPr>
          <w:rFonts w:ascii="Calibri" w:cs="Calibri" w:eastAsia="Calibri" w:hAnsi="Calibri"/>
          <w:b/>
          <w:bCs/>
          <w:sz w:val="21"/>
          <w:szCs w:val="21"/>
        </w:rPr>
        <w:t xml:space="preserve">Worked example of the leakage formula, illustrative only and not a claimed result:</w:t>
      </w:r>
      <w:r>
        <w:rPr>
          <w:rFonts w:ascii="Calibri" w:cs="Calibri" w:eastAsia="Calibri" w:hAnsi="Calibri"/>
          <w:sz w:val="21"/>
          <w:szCs w:val="21"/>
        </w:rPr>
        <w:t xml:space="preserve"> 200 covers per day at a 2% mis validation rate and an average value of AED 120 per cover equals AED 175,200 of annual exposure now under automated control. Replace all three inputs with audited property figures before submission. Do not submit the illustrative number.</w:t>
      </w:r>
    </w:p>
    <w:p>
      <w:pPr>
        <w:pStyle w:val="Heading3"/>
        <w:spacing w:after="100" w:before="240"/>
      </w:pPr>
      <w:r>
        <w:rPr>
          <w:rFonts w:ascii="Calibri" w:cs="Calibri" w:eastAsia="Calibri" w:hAnsi="Calibri"/>
          <w:b/>
          <w:bCs/>
          <w:color w:val="1F3864"/>
          <w:sz w:val="22"/>
          <w:szCs w:val="22"/>
        </w:rPr>
        <w:t xml:space="preserve">Operational impact</w:t>
      </w:r>
    </w:p>
    <w:p>
      <w:pPr>
        <w:spacing w:after="120" w:before="60" w:line="276"/>
        <w:jc w:val="left"/>
      </w:pPr>
      <w:r>
        <w:rPr>
          <w:rFonts w:ascii="Calibri" w:cs="Calibri" w:eastAsia="Calibri" w:hAnsi="Calibri"/>
          <w:sz w:val="21"/>
          <w:szCs w:val="21"/>
        </w:rPr>
        <w:t xml:space="preserve">Guest validation has fallen from approximately one to two minutes to a few seconds, eliminating manual Opera PMS lookups and printed guest lists entirely. The application accelerates guest processing at the outlet door, improves reporting accuracy, and gives management real time visibility across all Food and Beverage operations for audit, outlet performance analysis and commercial optimisation.</w:t>
      </w:r>
    </w:p>
    <w:p>
      <w:pPr>
        <w:pStyle w:val="Heading3"/>
        <w:spacing w:after="100" w:before="240"/>
      </w:pPr>
      <w:r>
        <w:rPr>
          <w:rFonts w:ascii="Calibri" w:cs="Calibri" w:eastAsia="Calibri" w:hAnsi="Calibri"/>
          <w:b/>
          <w:bCs/>
          <w:color w:val="1F3864"/>
          <w:sz w:val="22"/>
          <w:szCs w:val="22"/>
        </w:rPr>
        <w:t xml:space="preserve">Guest experience impact</w:t>
      </w:r>
    </w:p>
    <w:p>
      <w:pPr>
        <w:spacing w:after="120" w:before="60" w:line="276"/>
        <w:jc w:val="left"/>
      </w:pPr>
      <w:r>
        <w:rPr>
          <w:rFonts w:ascii="Calibri" w:cs="Calibri" w:eastAsia="Calibri" w:hAnsi="Calibri"/>
          <w:sz w:val="21"/>
          <w:szCs w:val="21"/>
        </w:rPr>
        <w:t xml:space="preserve">Guests receive faster, contactless service with minimal waiting. IHG One Rewards members are recognised immediately, dining entitlements are confirmed instantly, and colleagues personalise the interaction using guest preferences already displayed in the application. The result is a smoother and more personalised dining experience delivered with less effort.</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6. STEWARDING APP: DIGITISING BACK OF HOUSE OPERATIONS</w:t>
      </w:r>
    </w:p>
    <w:p>
      <w:pPr>
        <w:pStyle w:val="Heading3"/>
        <w:spacing w:after="100" w:before="240"/>
      </w:pPr>
      <w:r>
        <w:rPr>
          <w:rFonts w:ascii="Calibri" w:cs="Calibri" w:eastAsia="Calibri" w:hAnsi="Calibri"/>
          <w:b/>
          <w:bCs/>
          <w:color w:val="1F3864"/>
          <w:sz w:val="22"/>
          <w:szCs w:val="22"/>
        </w:rPr>
        <w:t xml:space="preserve">How it was built</w:t>
      </w:r>
    </w:p>
    <w:p>
      <w:pPr>
        <w:spacing w:after="120" w:before="60" w:line="276"/>
        <w:jc w:val="left"/>
      </w:pPr>
      <w:r>
        <w:rPr>
          <w:rFonts w:ascii="Calibri" w:cs="Calibri" w:eastAsia="Calibri" w:hAnsi="Calibri"/>
          <w:sz w:val="21"/>
          <w:szCs w:val="21"/>
        </w:rPr>
        <w:t xml:space="preserve">Stewarding is the highest cost, lowest visibility function in most hotel back of house operations. Breakage, chemical consumption, equipment location, casual labour deployment and HACCP compliance evidence were all tracked on paper, which meant losses were discovered at inventory count rather than at the point they occurred, and compliance evidence was reconstructed rather than recorded.</w:t>
      </w:r>
    </w:p>
    <w:p>
      <w:pPr>
        <w:spacing w:after="120" w:before="60" w:line="276"/>
        <w:jc w:val="left"/>
      </w:pPr>
      <w:r>
        <w:rPr>
          <w:rFonts w:ascii="Calibri" w:cs="Calibri" w:eastAsia="Calibri" w:hAnsi="Calibri"/>
          <w:sz w:val="21"/>
          <w:szCs w:val="21"/>
        </w:rPr>
        <w:t xml:space="preserve">The IT Manager designed and built the Stewarding App in house to close that gap. The application digitises the full stewarding cycle: task assignment and completion by shift and area, breakage and loss capture at the point of incident with item, quantity and cost, chemical issue and consumption tracking against par levels, equipment and operating equipment movement between outlets, banqueting and stores, and time stamped cleaning and HACCP compliance logs available for audit on demand. All data feeds the same Business Intelligence layer as the revenue and F&amp;B platforms, so the Executive Chef, Director of Operations and Finance see stewarding cost in the same daily view as revenue.</w:t>
      </w:r>
    </w:p>
    <w:p>
      <w:pPr>
        <w:pStyle w:val="Heading3"/>
        <w:spacing w:after="100" w:before="240"/>
      </w:pPr>
      <w:r>
        <w:rPr>
          <w:rFonts w:ascii="Calibri" w:cs="Calibri" w:eastAsia="Calibri" w:hAnsi="Calibri"/>
          <w:b/>
          <w:bCs/>
          <w:color w:val="1F3864"/>
          <w:sz w:val="22"/>
          <w:szCs w:val="22"/>
        </w:rPr>
        <w:t xml:space="preserve">Financial impact</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4142"/>
        <w:gridCol w:w="2274"/>
        <w:gridCol w:w="3330"/>
      </w:tblGrid>
      <w:tr>
        <w:trPr>
          <w:tblHeader/>
        </w:trPr>
        <w:tc>
          <w:tcPr>
            <w:tcW w:type="dxa" w:w="4142"/>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Line</w:t>
            </w:r>
          </w:p>
        </w:tc>
        <w:tc>
          <w:tcPr>
            <w:tcW w:type="dxa" w:w="2274"/>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Amount</w:t>
            </w:r>
          </w:p>
        </w:tc>
        <w:tc>
          <w:tcPr>
            <w:tcW w:type="dxa" w:w="3330"/>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Basis</w:t>
            </w:r>
          </w:p>
        </w:tc>
      </w:tr>
      <w:tr>
        <w:tc>
          <w:tcPr>
            <w:tcW w:type="dxa" w:w="414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Annual operating equipment breakage and loss before</w:t>
            </w:r>
          </w:p>
        </w:tc>
        <w:tc>
          <w:tcPr>
            <w:tcW w:type="dxa" w:w="2274"/>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333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Finance, prior year</w:t>
            </w:r>
          </w:p>
        </w:tc>
      </w:tr>
      <w:tr>
        <w:tc>
          <w:tcPr>
            <w:tcW w:type="dxa" w:w="414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Annual breakage and loss after</w:t>
            </w:r>
          </w:p>
        </w:tc>
        <w:tc>
          <w:tcPr>
            <w:tcW w:type="dxa" w:w="2274"/>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333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Finance, current year</w:t>
            </w:r>
          </w:p>
        </w:tc>
      </w:tr>
      <w:tr>
        <w:tc>
          <w:tcPr>
            <w:tcW w:type="dxa" w:w="4142"/>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Breakage and loss reduction</w:t>
            </w:r>
          </w:p>
        </w:tc>
        <w:tc>
          <w:tcPr>
            <w:tcW w:type="dxa" w:w="2274"/>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`[CONFIRM: AED __]` (`[__]`%)</w:t>
            </w:r>
          </w:p>
        </w:tc>
        <w:tc>
          <w:tcPr>
            <w:tcW w:type="dxa" w:w="333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w:t>
            </w:r>
          </w:p>
        </w:tc>
      </w:tr>
      <w:tr>
        <w:tc>
          <w:tcPr>
            <w:tcW w:type="dxa" w:w="414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Annual chemical spend before</w:t>
            </w:r>
          </w:p>
        </w:tc>
        <w:tc>
          <w:tcPr>
            <w:tcW w:type="dxa" w:w="2274"/>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333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Purchasing</w:t>
            </w:r>
          </w:p>
        </w:tc>
      </w:tr>
      <w:tr>
        <w:tc>
          <w:tcPr>
            <w:tcW w:type="dxa" w:w="414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Annual chemical spend after par level control</w:t>
            </w:r>
          </w:p>
        </w:tc>
        <w:tc>
          <w:tcPr>
            <w:tcW w:type="dxa" w:w="2274"/>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c>
          <w:tcPr>
            <w:tcW w:type="dxa" w:w="333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Purchasing</w:t>
            </w:r>
          </w:p>
        </w:tc>
      </w:tr>
      <w:tr>
        <w:tc>
          <w:tcPr>
            <w:tcW w:type="dxa" w:w="4142"/>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Chemical consumption saving</w:t>
            </w:r>
          </w:p>
        </w:tc>
        <w:tc>
          <w:tcPr>
            <w:tcW w:type="dxa" w:w="2274"/>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`[CONFIRM: AED __]`</w:t>
            </w:r>
          </w:p>
        </w:tc>
        <w:tc>
          <w:tcPr>
            <w:tcW w:type="dxa" w:w="333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w:t>
            </w:r>
          </w:p>
        </w:tc>
      </w:tr>
      <w:tr>
        <w:tc>
          <w:tcPr>
            <w:tcW w:type="dxa" w:w="414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Casual labour hours before</w:t>
            </w:r>
          </w:p>
        </w:tc>
        <w:tc>
          <w:tcPr>
            <w:tcW w:type="dxa" w:w="2274"/>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 hours]</w:t>
            </w:r>
          </w:p>
        </w:tc>
        <w:tc>
          <w:tcPr>
            <w:tcW w:type="dxa" w:w="333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HR</w:t>
            </w:r>
          </w:p>
        </w:tc>
      </w:tr>
      <w:tr>
        <w:tc>
          <w:tcPr>
            <w:tcW w:type="dxa" w:w="414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Casual labour hours after workload visibility</w:t>
            </w:r>
          </w:p>
        </w:tc>
        <w:tc>
          <w:tcPr>
            <w:tcW w:type="dxa" w:w="2274"/>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 hours]</w:t>
            </w:r>
          </w:p>
        </w:tc>
        <w:tc>
          <w:tcPr>
            <w:tcW w:type="dxa" w:w="333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HR</w:t>
            </w:r>
          </w:p>
        </w:tc>
      </w:tr>
      <w:tr>
        <w:tc>
          <w:tcPr>
            <w:tcW w:type="dxa" w:w="4142"/>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Casual labour and overtime saving</w:t>
            </w:r>
          </w:p>
        </w:tc>
        <w:tc>
          <w:tcPr>
            <w:tcW w:type="dxa" w:w="2274"/>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`[CONFIRM: AED __]`</w:t>
            </w:r>
          </w:p>
        </w:tc>
        <w:tc>
          <w:tcPr>
            <w:tcW w:type="dxa" w:w="333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 (hours saved x AED </w:t>
            </w:r>
            <w:r>
              <w:rPr>
                <w:rFonts w:ascii="Consolas" w:cs="Consolas" w:eastAsia="Consolas" w:hAnsi="Consolas"/>
                <w:b/>
                <w:bCs/>
                <w:color w:val="C00000"/>
                <w:sz w:val="16"/>
                <w:szCs w:val="16"/>
              </w:rPr>
              <w:t xml:space="preserve">[__]</w:t>
            </w:r>
            <w:r>
              <w:rPr>
                <w:rFonts w:ascii="Calibri" w:cs="Calibri" w:eastAsia="Calibri" w:hAnsi="Calibri"/>
                <w:sz w:val="18"/>
                <w:szCs w:val="18"/>
              </w:rPr>
              <w:t xml:space="preserve"> per hour)</w:t>
            </w:r>
          </w:p>
        </w:tc>
      </w:tr>
      <w:tr>
        <w:tc>
          <w:tcPr>
            <w:tcW w:type="dxa" w:w="414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Stewarding supervisor administration hours released</w:t>
            </w:r>
          </w:p>
        </w:tc>
        <w:tc>
          <w:tcPr>
            <w:tcW w:type="dxa" w:w="2274"/>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 hours]</w:t>
            </w:r>
            <w:r>
              <w:rPr>
                <w:rFonts w:ascii="Calibri" w:cs="Calibri" w:eastAsia="Calibri" w:hAnsi="Calibri"/>
                <w:sz w:val="18"/>
                <w:szCs w:val="18"/>
              </w:rPr>
              <w:t xml:space="preserve"> annually</w:t>
            </w:r>
          </w:p>
        </w:tc>
        <w:tc>
          <w:tcPr>
            <w:tcW w:type="dxa" w:w="333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14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Commercial stewarding or CMMS licence avoided</w:t>
            </w:r>
          </w:p>
        </w:tc>
        <w:tc>
          <w:tcPr>
            <w:tcW w:type="dxa" w:w="2274"/>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333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Procurement</w:t>
            </w:r>
          </w:p>
        </w:tc>
      </w:tr>
      <w:tr>
        <w:tc>
          <w:tcPr>
            <w:tcW w:type="dxa" w:w="414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External development cost avoided</w:t>
            </w:r>
          </w:p>
        </w:tc>
        <w:tc>
          <w:tcPr>
            <w:tcW w:type="dxa" w:w="2274"/>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one off</w:t>
            </w:r>
          </w:p>
        </w:tc>
        <w:tc>
          <w:tcPr>
            <w:tcW w:type="dxa" w:w="333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142"/>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Total annual Stewarding App benefit</w:t>
            </w:r>
          </w:p>
        </w:tc>
        <w:tc>
          <w:tcPr>
            <w:tcW w:type="dxa" w:w="2274"/>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`[CONFIRM: AED __]`</w:t>
            </w:r>
          </w:p>
        </w:tc>
        <w:tc>
          <w:tcPr>
            <w:tcW w:type="dxa" w:w="333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Sum of the above</w:t>
            </w:r>
          </w:p>
        </w:tc>
      </w:tr>
    </w:tbl>
    <w:p>
      <w:pPr>
        <w:spacing w:after="180"/>
      </w:pPr>
      <w:r>
        <w:t xml:space="preserve"/>
      </w:r>
    </w:p>
    <w:p>
      <w:pPr>
        <w:spacing w:after="120" w:before="60" w:line="276"/>
        <w:jc w:val="left"/>
      </w:pPr>
      <w:r>
        <w:rPr>
          <w:rFonts w:ascii="Calibri" w:cs="Calibri" w:eastAsia="Calibri" w:hAnsi="Calibri"/>
          <w:sz w:val="21"/>
          <w:szCs w:val="21"/>
        </w:rPr>
        <w:t xml:space="preserve">The strongest available evidence for this section is a simple before and after comparison of the operating equipment breakage line in the P&amp;L for the same period last year versus this year. Request that single extract from Finance first, because it is the number a judge will find most credible.</w:t>
      </w:r>
    </w:p>
    <w:p>
      <w:pPr>
        <w:pStyle w:val="Heading3"/>
        <w:spacing w:after="100" w:before="240"/>
      </w:pPr>
      <w:r>
        <w:rPr>
          <w:rFonts w:ascii="Calibri" w:cs="Calibri" w:eastAsia="Calibri" w:hAnsi="Calibri"/>
          <w:b/>
          <w:bCs/>
          <w:color w:val="1F3864"/>
          <w:sz w:val="22"/>
          <w:szCs w:val="22"/>
        </w:rPr>
        <w:t xml:space="preserve">Operational impact</w:t>
      </w:r>
    </w:p>
    <w:p>
      <w:pPr>
        <w:spacing w:after="120" w:before="60" w:line="276"/>
        <w:jc w:val="left"/>
      </w:pPr>
      <w:r>
        <w:rPr>
          <w:rFonts w:ascii="Calibri" w:cs="Calibri" w:eastAsia="Calibri" w:hAnsi="Calibri"/>
          <w:sz w:val="21"/>
          <w:szCs w:val="21"/>
        </w:rPr>
        <w:t xml:space="preserve">Losses are now captured at the moment they happen rather than at quarterly inventory, which means the Executive Chef can identify the outlet, shift and cause instead of absorbing an unexplained variance. Chemical issue against par levels removed uncontrolled draw from stores. Equipment movement tracking eliminated the search time and duplicate purchasing that occur when operating equipment is unaccounted for between banqueting and outlets. HACCP and cleaning compliance evidence is time stamped and retrievable on demand, which removes the pre audit scramble entirely and materially reduces the property audit risk exposure of </w:t>
      </w:r>
      <w:r>
        <w:rPr>
          <w:rFonts w:ascii="Consolas" w:cs="Consolas" w:eastAsia="Consolas" w:hAnsi="Consolas"/>
          <w:b/>
          <w:bCs/>
          <w:color w:val="C00000"/>
          <w:sz w:val="19"/>
          <w:szCs w:val="19"/>
        </w:rPr>
        <w:t xml:space="preserve">[CONFIRM: AED __]</w:t>
      </w:r>
      <w:r>
        <w:rPr>
          <w:rFonts w:ascii="Calibri" w:cs="Calibri" w:eastAsia="Calibri" w:hAnsi="Calibri"/>
          <w:sz w:val="21"/>
          <w:szCs w:val="21"/>
        </w:rPr>
        <w:t xml:space="preserve"> in potential penalty or remediation cost.</w:t>
      </w:r>
    </w:p>
    <w:p>
      <w:pPr>
        <w:pStyle w:val="Heading3"/>
        <w:spacing w:after="100" w:before="240"/>
      </w:pPr>
      <w:r>
        <w:rPr>
          <w:rFonts w:ascii="Calibri" w:cs="Calibri" w:eastAsia="Calibri" w:hAnsi="Calibri"/>
          <w:b/>
          <w:bCs/>
          <w:color w:val="1F3864"/>
          <w:sz w:val="22"/>
          <w:szCs w:val="22"/>
        </w:rPr>
        <w:t xml:space="preserve">Guest experience impact</w:t>
      </w:r>
    </w:p>
    <w:p>
      <w:pPr>
        <w:spacing w:after="120" w:before="60" w:line="276"/>
        <w:jc w:val="left"/>
      </w:pPr>
      <w:r>
        <w:rPr>
          <w:rFonts w:ascii="Calibri" w:cs="Calibri" w:eastAsia="Calibri" w:hAnsi="Calibri"/>
          <w:sz w:val="21"/>
          <w:szCs w:val="21"/>
        </w:rPr>
        <w:t xml:space="preserve">Stewarding failures reach the guest quickly and visibly: a chipped plate, a delayed buffet clear down, cutlery not ready for service. By making workload and equipment status visible in real time, the application protects the physical quality of every cover served. Faster equipment turnaround supports the busiest banqueting and breakfast periods without additional labour, and cleanliness compliance is now provable rather than assumed, which directly supports the property Medallia cleanliness and food quality scores of </w:t>
      </w:r>
      <w:r>
        <w:rPr>
          <w:rFonts w:ascii="Consolas" w:cs="Consolas" w:eastAsia="Consolas" w:hAnsi="Consolas"/>
          <w:b/>
          <w:bCs/>
          <w:color w:val="C00000"/>
          <w:sz w:val="19"/>
          <w:szCs w:val="19"/>
        </w:rPr>
        <w:t xml:space="preserve">[CONFIRM: __ score movement]</w:t>
      </w:r>
      <w:r>
        <w:rPr>
          <w:rFonts w:ascii="Calibri" w:cs="Calibri" w:eastAsia="Calibri" w:hAnsi="Calibri"/>
          <w:sz w:val="21"/>
          <w:szCs w:val="21"/>
        </w:rPr>
        <w:t xml:space="preserve">.</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7. 2026 CRISIS RESPONSE: PROTECTING THE P&amp;L THROUGH THE REGIONAL CONFLICT</w:t>
      </w:r>
    </w:p>
    <w:p>
      <w:pPr>
        <w:pStyle w:val="Heading3"/>
        <w:spacing w:after="100" w:before="240"/>
      </w:pPr>
      <w:r>
        <w:rPr>
          <w:rFonts w:ascii="Calibri" w:cs="Calibri" w:eastAsia="Calibri" w:hAnsi="Calibri"/>
          <w:b/>
          <w:bCs/>
          <w:color w:val="1F3864"/>
          <w:sz w:val="22"/>
          <w:szCs w:val="22"/>
        </w:rPr>
        <w:t xml:space="preserve">Context</w:t>
      </w:r>
    </w:p>
    <w:p>
      <w:pPr>
        <w:spacing w:after="120" w:before="60" w:line="276"/>
        <w:jc w:val="left"/>
      </w:pPr>
      <w:r>
        <w:rPr>
          <w:rFonts w:ascii="Calibri" w:cs="Calibri" w:eastAsia="Calibri" w:hAnsi="Calibri"/>
          <w:sz w:val="21"/>
          <w:szCs w:val="21"/>
        </w:rPr>
        <w:t xml:space="preserve">The 2026 regional conflict disrupted supply chains, freight routing, insurance cost, connectivity and vendor pricing across the Gulf hospitality sector. Import lead times extended, several suppliers issued surcharge notices, and technology vendors billing in foreign currency repriced. Many properties responded by cutting service. This property did not. The IT Manager led a structured technology and supplier cost programme that protected the P&amp;L while holding every guest facing standard in place.</w:t>
      </w:r>
    </w:p>
    <w:p>
      <w:pPr>
        <w:pStyle w:val="Heading3"/>
        <w:spacing w:after="100" w:before="240"/>
      </w:pPr>
      <w:r>
        <w:rPr>
          <w:rFonts w:ascii="Calibri" w:cs="Calibri" w:eastAsia="Calibri" w:hAnsi="Calibri"/>
          <w:b/>
          <w:bCs/>
          <w:color w:val="1F3864"/>
          <w:sz w:val="22"/>
          <w:szCs w:val="22"/>
        </w:rPr>
        <w:t xml:space="preserve">7.1 Supplier and vendor management</w:t>
      </w:r>
    </w:p>
    <w:p>
      <w:pPr>
        <w:spacing w:after="120" w:before="60" w:line="276"/>
        <w:jc w:val="left"/>
      </w:pPr>
      <w:r>
        <w:rPr>
          <w:rFonts w:ascii="Calibri" w:cs="Calibri" w:eastAsia="Calibri" w:hAnsi="Calibri"/>
          <w:sz w:val="21"/>
          <w:szCs w:val="21"/>
        </w:rPr>
        <w:t xml:space="preserve">The response was governed, not reactive. Every IT and technology linked contract was placed into a single register and assessed on four criteria: criticality to guest service, contract exit and notice terms, currency and surcharge exposure, and availability of a substitute.</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3609"/>
        <w:gridCol w:w="3609"/>
        <w:gridCol w:w="2528"/>
      </w:tblGrid>
      <w:tr>
        <w:trPr>
          <w:tblHeader/>
        </w:trPr>
        <w:tc>
          <w:tcPr>
            <w:tcW w:type="dxa" w:w="3609"/>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Action</w:t>
            </w:r>
          </w:p>
        </w:tc>
        <w:tc>
          <w:tcPr>
            <w:tcW w:type="dxa" w:w="3609"/>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Saving</w:t>
            </w:r>
          </w:p>
        </w:tc>
        <w:tc>
          <w:tcPr>
            <w:tcW w:type="dxa" w:w="2528"/>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Basis</w:t>
            </w:r>
          </w:p>
        </w:tc>
      </w:tr>
      <w:tr>
        <w:tc>
          <w:tcPr>
            <w:tcW w:type="dxa" w:w="360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Contracts reviewed and re registered</w:t>
            </w:r>
          </w:p>
        </w:tc>
        <w:tc>
          <w:tcPr>
            <w:tcW w:type="dxa" w:w="3609"/>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 contracts]</w:t>
            </w:r>
            <w:r>
              <w:rPr>
                <w:rFonts w:ascii="Calibri" w:cs="Calibri" w:eastAsia="Calibri" w:hAnsi="Calibri"/>
                <w:sz w:val="18"/>
                <w:szCs w:val="18"/>
              </w:rPr>
              <w:t xml:space="preserve">, total annual value </w:t>
            </w:r>
            <w:r>
              <w:rPr>
                <w:rFonts w:ascii="Consolas" w:cs="Consolas" w:eastAsia="Consolas" w:hAnsi="Consolas"/>
                <w:b/>
                <w:bCs/>
                <w:color w:val="C00000"/>
                <w:sz w:val="16"/>
                <w:szCs w:val="16"/>
              </w:rPr>
              <w:t xml:space="preserve">[CONFIRM: AED __]</w:t>
            </w:r>
          </w:p>
        </w:tc>
        <w:tc>
          <w:tcPr>
            <w:tcW w:type="dxa" w:w="252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360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Renegotiated or re tendered contracts</w:t>
            </w:r>
          </w:p>
        </w:tc>
        <w:tc>
          <w:tcPr>
            <w:tcW w:type="dxa" w:w="3609"/>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 contracts]</w:t>
            </w:r>
          </w:p>
        </w:tc>
        <w:tc>
          <w:tcPr>
            <w:tcW w:type="dxa" w:w="2528"/>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3609"/>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Annual saving from renegotiation</w:t>
            </w:r>
          </w:p>
        </w:tc>
        <w:tc>
          <w:tcPr>
            <w:tcW w:type="dxa" w:w="3609"/>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`[CONFIRM: AED __]`</w:t>
            </w:r>
          </w:p>
        </w:tc>
        <w:tc>
          <w:tcPr>
            <w:tcW w:type="dxa" w:w="252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before versus after annual value</w:t>
            </w:r>
          </w:p>
        </w:tc>
      </w:tr>
      <w:tr>
        <w:tc>
          <w:tcPr>
            <w:tcW w:type="dxa" w:w="360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Surcharge and price increase requests rejected or absorbed</w:t>
            </w:r>
          </w:p>
        </w:tc>
        <w:tc>
          <w:tcPr>
            <w:tcW w:type="dxa" w:w="3609"/>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avoided</w:t>
            </w:r>
          </w:p>
        </w:tc>
        <w:tc>
          <w:tcPr>
            <w:tcW w:type="dxa" w:w="2528"/>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360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Vendors consolidated to fewer suppliers</w:t>
            </w:r>
          </w:p>
        </w:tc>
        <w:tc>
          <w:tcPr>
            <w:tcW w:type="dxa" w:w="3609"/>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 vendors removed]</w:t>
            </w:r>
            <w:r>
              <w:rPr>
                <w:rFonts w:ascii="Calibri" w:cs="Calibri" w:eastAsia="Calibri" w:hAnsi="Calibri"/>
                <w:sz w:val="18"/>
                <w:szCs w:val="18"/>
              </w:rPr>
              <w:t xml:space="preserve">, saving </w:t>
            </w:r>
            <w:r>
              <w:rPr>
                <w:rFonts w:ascii="Consolas" w:cs="Consolas" w:eastAsia="Consolas" w:hAnsi="Consolas"/>
                <w:b/>
                <w:bCs/>
                <w:color w:val="C00000"/>
                <w:sz w:val="16"/>
                <w:szCs w:val="16"/>
              </w:rPr>
              <w:t xml:space="preserve">[CONFIRM: AED __]</w:t>
            </w:r>
          </w:p>
        </w:tc>
        <w:tc>
          <w:tcPr>
            <w:tcW w:type="dxa" w:w="252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360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Payment terms extended, cash flow benefit</w:t>
            </w:r>
          </w:p>
        </w:tc>
        <w:tc>
          <w:tcPr>
            <w:tcW w:type="dxa" w:w="3609"/>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working capital</w:t>
            </w:r>
          </w:p>
        </w:tc>
        <w:tc>
          <w:tcPr>
            <w:tcW w:type="dxa" w:w="2528"/>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360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Support contracts moved from vendor to in house</w:t>
            </w:r>
          </w:p>
        </w:tc>
        <w:tc>
          <w:tcPr>
            <w:tcW w:type="dxa" w:w="3609"/>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252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360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Local or regional sourcing substituted for disrupted imports</w:t>
            </w:r>
          </w:p>
        </w:tc>
        <w:tc>
          <w:tcPr>
            <w:tcW w:type="dxa" w:w="3609"/>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and </w:t>
            </w:r>
            <w:r>
              <w:rPr>
                <w:rFonts w:ascii="Consolas" w:cs="Consolas" w:eastAsia="Consolas" w:hAnsi="Consolas"/>
                <w:b/>
                <w:bCs/>
                <w:color w:val="C00000"/>
                <w:sz w:val="16"/>
                <w:szCs w:val="16"/>
              </w:rPr>
              <w:t xml:space="preserve">[CONFIRM: __ days]</w:t>
            </w:r>
            <w:r>
              <w:rPr>
                <w:rFonts w:ascii="Calibri" w:cs="Calibri" w:eastAsia="Calibri" w:hAnsi="Calibri"/>
                <w:sz w:val="18"/>
                <w:szCs w:val="18"/>
              </w:rPr>
              <w:t xml:space="preserve"> lead time recovered</w:t>
            </w:r>
          </w:p>
        </w:tc>
        <w:tc>
          <w:tcPr>
            <w:tcW w:type="dxa" w:w="2528"/>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bl>
    <w:p>
      <w:pPr>
        <w:spacing w:after="180"/>
      </w:pPr>
      <w:r>
        <w:t xml:space="preserve"/>
      </w:r>
    </w:p>
    <w:p>
      <w:pPr>
        <w:pStyle w:val="Heading3"/>
        <w:spacing w:after="100" w:before="240"/>
      </w:pPr>
      <w:r>
        <w:rPr>
          <w:rFonts w:ascii="Calibri" w:cs="Calibri" w:eastAsia="Calibri" w:hAnsi="Calibri"/>
          <w:b/>
          <w:bCs/>
          <w:color w:val="1F3864"/>
          <w:sz w:val="22"/>
          <w:szCs w:val="22"/>
        </w:rPr>
        <w:t xml:space="preserve">7.2 Connectivity and telecommunications</w:t>
      </w:r>
    </w:p>
    <w:p>
      <w:pPr>
        <w:spacing w:after="120" w:before="60" w:line="276"/>
        <w:jc w:val="left"/>
      </w:pPr>
      <w:r>
        <w:rPr>
          <w:rFonts w:ascii="Calibri" w:cs="Calibri" w:eastAsia="Calibri" w:hAnsi="Calibri"/>
          <w:sz w:val="21"/>
          <w:szCs w:val="21"/>
        </w:rPr>
        <w:t xml:space="preserve">Connectivity was the single largest technology risk during the period, because it carries guest internet, PMS, payment authorisation and all cloud dependent operations at once. The objective was to reduce cost and increase resilience simultaneously, which is the opposite of the usual trade off.</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4032"/>
        <w:gridCol w:w="3562"/>
        <w:gridCol w:w="2152"/>
      </w:tblGrid>
      <w:tr>
        <w:trPr>
          <w:tblHeader/>
        </w:trPr>
        <w:tc>
          <w:tcPr>
            <w:tcW w:type="dxa" w:w="4032"/>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Action</w:t>
            </w:r>
          </w:p>
        </w:tc>
        <w:tc>
          <w:tcPr>
            <w:tcW w:type="dxa" w:w="3562"/>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Saving</w:t>
            </w:r>
          </w:p>
        </w:tc>
        <w:tc>
          <w:tcPr>
            <w:tcW w:type="dxa" w:w="2152"/>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Basis</w:t>
            </w:r>
          </w:p>
        </w:tc>
      </w:tr>
      <w:tr>
        <w:tc>
          <w:tcPr>
            <w:tcW w:type="dxa" w:w="403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Primary circuit renegotiated or re tendered</w:t>
            </w:r>
          </w:p>
        </w:tc>
        <w:tc>
          <w:tcPr>
            <w:tcW w:type="dxa" w:w="356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From </w:t>
            </w: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to </w:t>
            </w: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per month</w:t>
            </w:r>
          </w:p>
        </w:tc>
        <w:tc>
          <w:tcPr>
            <w:tcW w:type="dxa" w:w="215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032"/>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Annual connectivity saving</w:t>
            </w:r>
          </w:p>
        </w:tc>
        <w:tc>
          <w:tcPr>
            <w:tcW w:type="dxa" w:w="3562"/>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`[CONFIRM: AED __]`</w:t>
            </w:r>
          </w:p>
        </w:tc>
        <w:tc>
          <w:tcPr>
            <w:tcW w:type="dxa" w:w="215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Derived (monthly delta x 12)</w:t>
            </w:r>
          </w:p>
        </w:tc>
      </w:tr>
      <w:tr>
        <w:tc>
          <w:tcPr>
            <w:tcW w:type="dxa" w:w="403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Redundancy delivered via secondary link or 5G failover rather than a second leased line</w:t>
            </w:r>
          </w:p>
        </w:tc>
        <w:tc>
          <w:tcPr>
            <w:tcW w:type="dxa" w:w="3562"/>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avoided annually</w:t>
            </w:r>
          </w:p>
        </w:tc>
        <w:tc>
          <w:tcPr>
            <w:tcW w:type="dxa" w:w="215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03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Bandwidth right sized to measured utilisation</w:t>
            </w:r>
          </w:p>
        </w:tc>
        <w:tc>
          <w:tcPr>
            <w:tcW w:type="dxa" w:w="3562"/>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215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03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International calling moved to VoIP or IP trunking</w:t>
            </w:r>
          </w:p>
        </w:tc>
        <w:tc>
          <w:tcPr>
            <w:tcW w:type="dxa" w:w="3562"/>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215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03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Legacy circuits, lines and unused numbers decommissioned</w:t>
            </w:r>
          </w:p>
        </w:tc>
        <w:tc>
          <w:tcPr>
            <w:tcW w:type="dxa" w:w="3562"/>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2152"/>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03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Guest internet uptime maintained through the period</w:t>
            </w:r>
          </w:p>
        </w:tc>
        <w:tc>
          <w:tcPr>
            <w:tcW w:type="dxa" w:w="3562"/>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w:t>
            </w:r>
          </w:p>
        </w:tc>
        <w:tc>
          <w:tcPr>
            <w:tcW w:type="dxa" w:w="2152"/>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 from network monitoring</w:t>
            </w:r>
          </w:p>
        </w:tc>
      </w:tr>
    </w:tbl>
    <w:p>
      <w:pPr>
        <w:spacing w:after="180"/>
      </w:pPr>
      <w:r>
        <w:t xml:space="preserve"/>
      </w:r>
    </w:p>
    <w:p>
      <w:pPr>
        <w:pStyle w:val="Heading3"/>
        <w:spacing w:after="100" w:before="240"/>
      </w:pPr>
      <w:r>
        <w:rPr>
          <w:rFonts w:ascii="Calibri" w:cs="Calibri" w:eastAsia="Calibri" w:hAnsi="Calibri"/>
          <w:b/>
          <w:bCs/>
          <w:color w:val="1F3864"/>
          <w:sz w:val="22"/>
          <w:szCs w:val="22"/>
        </w:rPr>
        <w:t xml:space="preserve">7.3 Application and licensing rationalisation</w:t>
      </w:r>
    </w:p>
    <w:p>
      <w:pPr>
        <w:spacing w:after="120" w:before="60" w:line="276"/>
        <w:jc w:val="left"/>
      </w:pPr>
      <w:r>
        <w:rPr>
          <w:rFonts w:ascii="Calibri" w:cs="Calibri" w:eastAsia="Calibri" w:hAnsi="Calibri"/>
          <w:sz w:val="21"/>
          <w:szCs w:val="21"/>
        </w:rPr>
        <w:t xml:space="preserve">The in house development capability became a direct financial instrument during the crisis. Each platform built internally replaced or avoided a commercial subscription priced in foreign currency at exactly the point when foreign currency exposure was most damaging.</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4568"/>
        <w:gridCol w:w="4568"/>
        <w:gridCol w:w="610"/>
      </w:tblGrid>
      <w:tr>
        <w:trPr>
          <w:tblHeader/>
        </w:trPr>
        <w:tc>
          <w:tcPr>
            <w:tcW w:type="dxa" w:w="4568"/>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Action</w:t>
            </w:r>
          </w:p>
        </w:tc>
        <w:tc>
          <w:tcPr>
            <w:tcW w:type="dxa" w:w="4568"/>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Saving</w:t>
            </w:r>
          </w:p>
        </w:tc>
        <w:tc>
          <w:tcPr>
            <w:tcW w:type="dxa" w:w="610"/>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Basis</w:t>
            </w:r>
          </w:p>
        </w:tc>
      </w:tr>
      <w:tr>
        <w:tc>
          <w:tcPr>
            <w:tcW w:type="dxa" w:w="456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Subscriptions audited</w:t>
            </w:r>
          </w:p>
        </w:tc>
        <w:tc>
          <w:tcPr>
            <w:tcW w:type="dxa" w:w="4568"/>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 applications]</w:t>
            </w:r>
            <w:r>
              <w:rPr>
                <w:rFonts w:ascii="Calibri" w:cs="Calibri" w:eastAsia="Calibri" w:hAnsi="Calibri"/>
                <w:sz w:val="18"/>
                <w:szCs w:val="18"/>
              </w:rPr>
              <w:t xml:space="preserve">, total </w:t>
            </w: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61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568"/>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Unused or duplicated licences cancelled</w:t>
            </w:r>
          </w:p>
        </w:tc>
        <w:tc>
          <w:tcPr>
            <w:tcW w:type="dxa" w:w="4568"/>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61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56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Licence counts right sized to actual named users</w:t>
            </w:r>
          </w:p>
        </w:tc>
        <w:tc>
          <w:tcPr>
            <w:tcW w:type="dxa" w:w="4568"/>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61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568"/>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Commercial products replaced by in house builds (BI, F&amp;B Assist, Stewarding)</w:t>
            </w:r>
          </w:p>
        </w:tc>
        <w:tc>
          <w:tcPr>
            <w:tcW w:type="dxa" w:w="4568"/>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61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56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External development and integration spend avoided across 4 platforms</w:t>
            </w:r>
          </w:p>
        </w:tc>
        <w:tc>
          <w:tcPr>
            <w:tcW w:type="dxa" w:w="4568"/>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one off</w:t>
            </w:r>
          </w:p>
        </w:tc>
        <w:tc>
          <w:tcPr>
            <w:tcW w:type="dxa" w:w="61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568"/>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Cloud and hosting consumption optimised</w:t>
            </w:r>
          </w:p>
        </w:tc>
        <w:tc>
          <w:tcPr>
            <w:tcW w:type="dxa" w:w="4568"/>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annually</w:t>
            </w:r>
          </w:p>
        </w:tc>
        <w:tc>
          <w:tcPr>
            <w:tcW w:type="dxa" w:w="61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r>
        <w:tc>
          <w:tcPr>
            <w:tcW w:type="dxa" w:w="4568"/>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Hardware life extended in place of replacement capex</w:t>
            </w:r>
          </w:p>
        </w:tc>
        <w:tc>
          <w:tcPr>
            <w:tcW w:type="dxa" w:w="4568"/>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r>
              <w:rPr>
                <w:rFonts w:ascii="Calibri" w:cs="Calibri" w:eastAsia="Calibri" w:hAnsi="Calibri"/>
                <w:sz w:val="18"/>
                <w:szCs w:val="18"/>
              </w:rPr>
              <w:t xml:space="preserve"> deferred</w:t>
            </w:r>
          </w:p>
        </w:tc>
        <w:tc>
          <w:tcPr>
            <w:tcW w:type="dxa" w:w="61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Required</w:t>
            </w:r>
          </w:p>
        </w:tc>
      </w:tr>
    </w:tbl>
    <w:p>
      <w:pPr>
        <w:spacing w:after="180"/>
      </w:pPr>
      <w:r>
        <w:t xml:space="preserve"/>
      </w:r>
    </w:p>
    <w:p>
      <w:pPr>
        <w:pStyle w:val="Heading3"/>
        <w:spacing w:after="100" w:before="240"/>
      </w:pPr>
      <w:r>
        <w:rPr>
          <w:rFonts w:ascii="Calibri" w:cs="Calibri" w:eastAsia="Calibri" w:hAnsi="Calibri"/>
          <w:b/>
          <w:bCs/>
          <w:color w:val="1F3864"/>
          <w:sz w:val="22"/>
          <w:szCs w:val="22"/>
        </w:rPr>
        <w:t xml:space="preserve">7.4 Crisis response outcome</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6726"/>
        <w:gridCol w:w="3020"/>
      </w:tblGrid>
      <w:tr>
        <w:trPr>
          <w:tblHeader/>
        </w:trPr>
        <w:tc>
          <w:tcPr>
            <w:tcW w:type="dxa" w:w="6726"/>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Measure</w:t>
            </w:r>
          </w:p>
        </w:tc>
        <w:tc>
          <w:tcPr>
            <w:tcW w:type="dxa" w:w="3020"/>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Result</w:t>
            </w:r>
          </w:p>
        </w:tc>
      </w:tr>
      <w:tr>
        <w:tc>
          <w:tcPr>
            <w:tcW w:type="dxa" w:w="6726"/>
            <w:shd w:fill="FFFFFF"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Total crisis period saving and cost avoidance</w:t>
            </w:r>
          </w:p>
        </w:tc>
        <w:tc>
          <w:tcPr>
            <w:tcW w:type="dxa" w:w="3020"/>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AED __]</w:t>
            </w:r>
          </w:p>
        </w:tc>
      </w:tr>
      <w:tr>
        <w:tc>
          <w:tcPr>
            <w:tcW w:type="dxa" w:w="672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Guest facing services reduced or withdrawn</w:t>
            </w:r>
          </w:p>
        </w:tc>
        <w:tc>
          <w:tcPr>
            <w:tcW w:type="dxa" w:w="3020"/>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None</w:t>
            </w:r>
          </w:p>
        </w:tc>
      </w:tr>
      <w:tr>
        <w:tc>
          <w:tcPr>
            <w:tcW w:type="dxa" w:w="672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Technology driven service interruptions to guests</w:t>
            </w:r>
          </w:p>
        </w:tc>
        <w:tc>
          <w:tcPr>
            <w:tcW w:type="dxa" w:w="3020"/>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w:t>
            </w:r>
          </w:p>
        </w:tc>
      </w:tr>
      <w:tr>
        <w:tc>
          <w:tcPr>
            <w:tcW w:type="dxa" w:w="672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System availability maintained through the period</w:t>
            </w:r>
          </w:p>
        </w:tc>
        <w:tc>
          <w:tcPr>
            <w:tcW w:type="dxa" w:w="3020"/>
            <w:shd w:fill="F2F5F9"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w:t>
            </w:r>
          </w:p>
        </w:tc>
      </w:tr>
      <w:tr>
        <w:tc>
          <w:tcPr>
            <w:tcW w:type="dxa" w:w="672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Guest satisfaction movement during the period</w:t>
            </w:r>
          </w:p>
        </w:tc>
        <w:tc>
          <w:tcPr>
            <w:tcW w:type="dxa" w:w="3020"/>
            <w:shd w:fill="FFFFFF" w:color="auto" w:val="clear"/>
            <w:tcMar>
              <w:top w:type="dxa" w:w="60"/>
              <w:left w:type="dxa" w:w="110"/>
              <w:bottom w:type="dxa" w:w="60"/>
              <w:right w:type="dxa" w:w="110"/>
            </w:tcMar>
          </w:tcPr>
          <w:p>
            <w:pPr>
              <w:spacing w:after="20" w:before="20"/>
            </w:pPr>
            <w:r>
              <w:rPr>
                <w:rFonts w:ascii="Consolas" w:cs="Consolas" w:eastAsia="Consolas" w:hAnsi="Consolas"/>
                <w:b/>
                <w:bCs/>
                <w:color w:val="C00000"/>
                <w:sz w:val="16"/>
                <w:szCs w:val="16"/>
              </w:rPr>
              <w:t xml:space="preserve">[CONFIRM: __]</w:t>
            </w:r>
            <w:r>
              <w:rPr>
                <w:rFonts w:ascii="Calibri" w:cs="Calibri" w:eastAsia="Calibri" w:hAnsi="Calibri"/>
                <w:sz w:val="18"/>
                <w:szCs w:val="18"/>
              </w:rPr>
              <w:t xml:space="preserve"> Medallia</w:t>
            </w:r>
          </w:p>
        </w:tc>
      </w:tr>
      <w:tr>
        <w:tc>
          <w:tcPr>
            <w:tcW w:type="dxa" w:w="672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Headcount reductions required in the IT function</w:t>
            </w:r>
          </w:p>
        </w:tc>
        <w:tc>
          <w:tcPr>
            <w:tcW w:type="dxa" w:w="3020"/>
            <w:shd w:fill="F2F5F9"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None</w:t>
            </w:r>
          </w:p>
        </w:tc>
      </w:tr>
    </w:tbl>
    <w:p>
      <w:pPr>
        <w:spacing w:after="180"/>
      </w:pPr>
      <w:r>
        <w:t xml:space="preserve"/>
      </w:r>
    </w:p>
    <w:p>
      <w:pPr>
        <w:spacing w:after="120" w:before="60" w:line="276"/>
        <w:jc w:val="left"/>
      </w:pPr>
      <w:r>
        <w:rPr>
          <w:rFonts w:ascii="Calibri" w:cs="Calibri" w:eastAsia="Calibri" w:hAnsi="Calibri"/>
          <w:sz w:val="21"/>
          <w:szCs w:val="21"/>
        </w:rPr>
        <w:t xml:space="preserve">The defining point of this section for judges is the combination: cost was removed from the P&amp;L at the same time as resilience was increased and guest satisfaction was maintained. Cost cutting that damages the guest experience is not an achievement. Cost cutting that protects it is.</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8. ACADEMIC FOUNDATION: MBA, HERIOT-WATT UNIVERSITY</w:t>
      </w:r>
    </w:p>
    <w:p>
      <w:pPr>
        <w:spacing w:after="120" w:before="60" w:line="276"/>
        <w:jc w:val="left"/>
      </w:pPr>
      <w:r>
        <w:rPr>
          <w:rFonts w:ascii="Calibri" w:cs="Calibri" w:eastAsia="Calibri" w:hAnsi="Calibri"/>
          <w:b/>
          <w:bCs/>
          <w:sz w:val="21"/>
          <w:szCs w:val="21"/>
        </w:rPr>
        <w:t xml:space="preserve">Qualification:</w:t>
      </w:r>
      <w:r>
        <w:rPr>
          <w:rFonts w:ascii="Calibri" w:cs="Calibri" w:eastAsia="Calibri" w:hAnsi="Calibri"/>
          <w:sz w:val="21"/>
          <w:szCs w:val="21"/>
        </w:rPr>
        <w:t xml:space="preserve"> Master of Business Administration, Heriot-Watt University, Edinburgh Business School</w:t>
      </w:r>
    </w:p>
    <w:p>
      <w:pPr>
        <w:spacing w:after="120" w:before="60" w:line="276"/>
        <w:jc w:val="left"/>
      </w:pPr>
      <w:r>
        <w:rPr>
          <w:rFonts w:ascii="Calibri" w:cs="Calibri" w:eastAsia="Calibri" w:hAnsi="Calibri"/>
          <w:b/>
          <w:bCs/>
          <w:sz w:val="21"/>
          <w:szCs w:val="21"/>
        </w:rPr>
        <w:t xml:space="preserve">Specialisation:</w:t>
      </w:r>
      <w:r>
        <w:rPr>
          <w:rFonts w:ascii="Calibri" w:cs="Calibri" w:eastAsia="Calibri" w:hAnsi="Calibri"/>
          <w:sz w:val="21"/>
          <w:szCs w:val="21"/>
        </w:rPr>
        <w:t xml:space="preserve"> Business Analytics and Strategic Management</w:t>
      </w:r>
    </w:p>
    <w:p>
      <w:pPr>
        <w:spacing w:after="120" w:before="60" w:line="276"/>
        <w:jc w:val="left"/>
      </w:pPr>
      <w:r>
        <w:rPr>
          <w:rFonts w:ascii="Calibri" w:cs="Calibri" w:eastAsia="Calibri" w:hAnsi="Calibri"/>
          <w:b/>
          <w:bCs/>
          <w:sz w:val="21"/>
          <w:szCs w:val="21"/>
        </w:rPr>
        <w:t xml:space="preserve">Status:</w:t>
      </w:r>
      <w:r>
        <w:rPr>
          <w:rFonts w:ascii="Calibri" w:cs="Calibri" w:eastAsia="Calibri" w:hAnsi="Calibri"/>
          <w:sz w:val="21"/>
          <w:szCs w:val="21"/>
        </w:rPr>
        <w:t xml:space="preserve"> Graduated </w:t>
      </w:r>
      <w:r>
        <w:rPr>
          <w:rFonts w:ascii="Consolas" w:cs="Consolas" w:eastAsia="Consolas" w:hAnsi="Consolas"/>
          <w:b/>
          <w:bCs/>
          <w:color w:val="C00000"/>
          <w:sz w:val="19"/>
          <w:szCs w:val="19"/>
        </w:rPr>
        <w:t xml:space="preserve">[CONFIRM: month and year]</w:t>
      </w:r>
    </w:p>
    <w:p>
      <w:pPr>
        <w:pStyle w:val="Heading3"/>
        <w:spacing w:after="100" w:before="240"/>
      </w:pPr>
      <w:r>
        <w:rPr>
          <w:rFonts w:ascii="Calibri" w:cs="Calibri" w:eastAsia="Calibri" w:hAnsi="Calibri"/>
          <w:b/>
          <w:bCs/>
          <w:color w:val="1F3864"/>
          <w:sz w:val="22"/>
          <w:szCs w:val="22"/>
        </w:rPr>
        <w:t xml:space="preserve">Why this belongs in a technology award entry</w:t>
      </w:r>
    </w:p>
    <w:p>
      <w:pPr>
        <w:spacing w:after="120" w:before="60" w:line="276"/>
        <w:jc w:val="left"/>
      </w:pPr>
      <w:r>
        <w:rPr>
          <w:rFonts w:ascii="Calibri" w:cs="Calibri" w:eastAsia="Calibri" w:hAnsi="Calibri"/>
          <w:sz w:val="21"/>
          <w:szCs w:val="21"/>
        </w:rPr>
        <w:t xml:space="preserve">The programme described in this entry was not delivered by technical capability alone. Every initiative in it began with a commercial question rather than a technical one, and that shift is directly attributable to the MBA completed at Heriot-Watt University alongside a full time IT Manager role at an operating 200 key property.</w:t>
      </w:r>
    </w:p>
    <w:p>
      <w:pPr>
        <w:spacing w:after="120" w:before="60" w:line="276"/>
        <w:jc w:val="left"/>
      </w:pPr>
      <w:r>
        <w:rPr>
          <w:rFonts w:ascii="Calibri" w:cs="Calibri" w:eastAsia="Calibri" w:hAnsi="Calibri"/>
          <w:sz w:val="21"/>
          <w:szCs w:val="21"/>
        </w:rPr>
        <w:t xml:space="preserve">The qualification changed the operating question from </w:t>
      </w:r>
      <w:r>
        <w:rPr>
          <w:rFonts w:ascii="Calibri" w:cs="Calibri" w:eastAsia="Calibri" w:hAnsi="Calibri"/>
          <w:b/>
          <w:bCs/>
          <w:sz w:val="21"/>
          <w:szCs w:val="21"/>
        </w:rPr>
        <w:t xml:space="preserve">"can we build this"</w:t>
      </w:r>
      <w:r>
        <w:rPr>
          <w:rFonts w:ascii="Calibri" w:cs="Calibri" w:eastAsia="Calibri" w:hAnsi="Calibri"/>
          <w:sz w:val="21"/>
          <w:szCs w:val="21"/>
        </w:rPr>
        <w:t xml:space="preserve"> to </w:t>
      </w:r>
      <w:r>
        <w:rPr>
          <w:rFonts w:ascii="Calibri" w:cs="Calibri" w:eastAsia="Calibri" w:hAnsi="Calibri"/>
          <w:b/>
          <w:bCs/>
          <w:sz w:val="21"/>
          <w:szCs w:val="21"/>
        </w:rPr>
        <w:t xml:space="preserve">"what does this return, what does it cost across its full life, what breaks if it fails, and what is the next best use of the same money and hours."</w:t>
      </w:r>
      <w:r>
        <w:rPr>
          <w:rFonts w:ascii="Calibri" w:cs="Calibri" w:eastAsia="Calibri" w:hAnsi="Calibri"/>
          <w:sz w:val="21"/>
          <w:szCs w:val="21"/>
        </w:rPr>
        <w:t xml:space="preserve"> That is the difference between an IT Manager who delivers projects and one who is accountable for business outcomes, and it is the reason this entry can be argued in dirhams rather than in features.</w:t>
      </w:r>
    </w:p>
    <w:p>
      <w:pPr>
        <w:pStyle w:val="Heading3"/>
        <w:spacing w:after="100" w:before="240"/>
      </w:pPr>
      <w:r>
        <w:rPr>
          <w:rFonts w:ascii="Calibri" w:cs="Calibri" w:eastAsia="Calibri" w:hAnsi="Calibri"/>
          <w:b/>
          <w:bCs/>
          <w:color w:val="1F3864"/>
          <w:sz w:val="22"/>
          <w:szCs w:val="22"/>
        </w:rPr>
        <w:t xml:space="preserve">Where the MBA is visible in the work</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1567"/>
        <w:gridCol w:w="4089"/>
        <w:gridCol w:w="4090"/>
      </w:tblGrid>
      <w:tr>
        <w:trPr>
          <w:tblHeader/>
        </w:trPr>
        <w:tc>
          <w:tcPr>
            <w:tcW w:type="dxa" w:w="1567"/>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Initiative</w:t>
            </w:r>
          </w:p>
        </w:tc>
        <w:tc>
          <w:tcPr>
            <w:tcW w:type="dxa" w:w="4089"/>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Discipline applied</w:t>
            </w:r>
          </w:p>
        </w:tc>
        <w:tc>
          <w:tcPr>
            <w:tcW w:type="dxa" w:w="4090"/>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Evidence in this entry</w:t>
            </w:r>
          </w:p>
        </w:tc>
      </w:tr>
      <w:tr>
        <w:tc>
          <w:tcPr>
            <w:tcW w:type="dxa" w:w="1567"/>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Service robot programme</w:t>
            </w:r>
          </w:p>
        </w:tc>
        <w:tc>
          <w:tcPr>
            <w:tcW w:type="dxa" w:w="408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Total cost of ownership, investment appraisal, contract and risk analysis</w:t>
            </w:r>
          </w:p>
        </w:tc>
        <w:tc>
          <w:tcPr>
            <w:tcW w:type="dxa" w:w="409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Fully loaded human cost comparison including visa, accommodation, insurance, annual leave, end of service and recruitment, rather than a salary against a subscription price. Formal concerns register and Finance sign off before commitment</w:t>
            </w:r>
          </w:p>
        </w:tc>
      </w:tr>
      <w:tr>
        <w:tc>
          <w:tcPr>
            <w:tcW w:type="dxa" w:w="1567"/>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Executive BI platform</w:t>
            </w:r>
          </w:p>
        </w:tc>
        <w:tc>
          <w:tcPr>
            <w:tcW w:type="dxa" w:w="408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Business analytics, management accounting, decision support theory</w:t>
            </w:r>
          </w:p>
        </w:tc>
        <w:tc>
          <w:tcPr>
            <w:tcW w:type="dxa" w:w="409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Built around the decisions the executive team actually makes on occupancy, ADR, RevPAR and forecast, not around the data that happened to be available</w:t>
            </w:r>
          </w:p>
        </w:tc>
      </w:tr>
      <w:tr>
        <w:tc>
          <w:tcPr>
            <w:tcW w:type="dxa" w:w="1567"/>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F&amp;B Assist</w:t>
            </w:r>
          </w:p>
        </w:tc>
        <w:tc>
          <w:tcPr>
            <w:tcW w:type="dxa" w:w="408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Revenue management, margin protection, internal control</w:t>
            </w:r>
          </w:p>
        </w:tc>
        <w:tc>
          <w:tcPr>
            <w:tcW w:type="dxa" w:w="409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Framed as controlling revenue leakage and creating an audit trail, not as replacing a printed guest list</w:t>
            </w:r>
          </w:p>
        </w:tc>
      </w:tr>
      <w:tr>
        <w:tc>
          <w:tcPr>
            <w:tcW w:type="dxa" w:w="1567"/>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Stewarding App</w:t>
            </w:r>
          </w:p>
        </w:tc>
        <w:tc>
          <w:tcPr>
            <w:tcW w:type="dxa" w:w="408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Cost of quality, variance analysis, operational costing</w:t>
            </w:r>
          </w:p>
        </w:tc>
        <w:tc>
          <w:tcPr>
            <w:tcW w:type="dxa" w:w="409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Targets the specific P&amp;L lines of breakage, chemical consumption and casual labour, with before and after measurement designed in from the start</w:t>
            </w:r>
          </w:p>
        </w:tc>
      </w:tr>
      <w:tr>
        <w:tc>
          <w:tcPr>
            <w:tcW w:type="dxa" w:w="1567"/>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2026 crisis response</w:t>
            </w:r>
          </w:p>
        </w:tc>
        <w:tc>
          <w:tcPr>
            <w:tcW w:type="dxa" w:w="408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Strategic sourcing, supplier negotiation, scenario planning, working capital management</w:t>
            </w:r>
          </w:p>
        </w:tc>
        <w:tc>
          <w:tcPr>
            <w:tcW w:type="dxa" w:w="409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 governed contract register assessed on criticality, exit terms, currency exposure and substitutability, rather than reactive across the board cuts</w:t>
            </w:r>
          </w:p>
        </w:tc>
      </w:tr>
      <w:tr>
        <w:tc>
          <w:tcPr>
            <w:tcW w:type="dxa" w:w="1567"/>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Estate wide scalability</w:t>
            </w:r>
          </w:p>
        </w:tc>
        <w:tc>
          <w:tcPr>
            <w:tcW w:type="dxa" w:w="408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Strategic management, business case portability</w:t>
            </w:r>
          </w:p>
        </w:tc>
        <w:tc>
          <w:tcPr>
            <w:tcW w:type="dxa" w:w="409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Business case structured so a second and third property can adopt it without rebuilding the argument, which is why InterContinental Abu Dhabi was able to adopt it directly</w:t>
            </w:r>
          </w:p>
        </w:tc>
      </w:tr>
    </w:tbl>
    <w:p>
      <w:pPr>
        <w:spacing w:after="180"/>
      </w:pPr>
      <w:r>
        <w:t xml:space="preserve"/>
      </w:r>
    </w:p>
    <w:p>
      <w:pPr>
        <w:pStyle w:val="Heading3"/>
        <w:spacing w:after="100" w:before="240"/>
      </w:pPr>
      <w:r>
        <w:rPr>
          <w:rFonts w:ascii="Calibri" w:cs="Calibri" w:eastAsia="Calibri" w:hAnsi="Calibri"/>
          <w:b/>
          <w:bCs/>
          <w:color w:val="1F3864"/>
          <w:sz w:val="22"/>
          <w:szCs w:val="22"/>
        </w:rPr>
        <w:t xml:space="preserve">The strategic mindset in practice</w:t>
      </w:r>
    </w:p>
    <w:p>
      <w:pPr>
        <w:spacing w:after="120" w:before="60" w:line="276"/>
        <w:jc w:val="left"/>
      </w:pPr>
      <w:r>
        <w:rPr>
          <w:rFonts w:ascii="Calibri" w:cs="Calibri" w:eastAsia="Calibri" w:hAnsi="Calibri"/>
          <w:sz w:val="21"/>
          <w:szCs w:val="21"/>
        </w:rPr>
        <w:t xml:space="preserve">Three specific habits carried from the MBA into the operation:</w:t>
      </w:r>
    </w:p>
    <w:p>
      <w:pPr>
        <w:pStyle w:val="ListParagraph"/>
        <w:numPr>
          <w:ilvl w:val="0"/>
          <w:numId w:val="3"/>
        </w:numPr>
        <w:spacing w:after="40" w:before="40"/>
      </w:pPr>
      <w:r>
        <w:rPr>
          <w:rFonts w:ascii="Calibri" w:cs="Calibri" w:eastAsia="Calibri" w:hAnsi="Calibri"/>
          <w:b/>
          <w:bCs/>
          <w:sz w:val="21"/>
          <w:szCs w:val="21"/>
        </w:rPr>
        <w:t xml:space="preserve">Cost is measured across the full life, not at the point of purchase.</w:t>
      </w:r>
      <w:r>
        <w:rPr>
          <w:rFonts w:ascii="Calibri" w:cs="Calibri" w:eastAsia="Calibri" w:hAnsi="Calibri"/>
          <w:sz w:val="21"/>
          <w:szCs w:val="21"/>
        </w:rPr>
        <w:t xml:space="preserve"> The robot comparison holds up under scrutiny precisely because it counts visa, accommodation, insurance, end of service and recruitment on the human side and contract, support and downtime on the technology side. A sticker price comparison would have produced a weaker and less defensible case.</w:t>
      </w:r>
    </w:p>
    <w:p>
      <w:pPr>
        <w:pStyle w:val="ListParagraph"/>
        <w:numPr>
          <w:ilvl w:val="0"/>
          <w:numId w:val="3"/>
        </w:numPr>
        <w:spacing w:after="40" w:before="40"/>
      </w:pPr>
      <w:r>
        <w:rPr>
          <w:rFonts w:ascii="Calibri" w:cs="Calibri" w:eastAsia="Calibri" w:hAnsi="Calibri"/>
          <w:b/>
          <w:bCs/>
          <w:sz w:val="21"/>
          <w:szCs w:val="21"/>
        </w:rPr>
        <w:t xml:space="preserve">Every initiative is designed with its own measurement.</w:t>
      </w:r>
      <w:r>
        <w:rPr>
          <w:rFonts w:ascii="Calibri" w:cs="Calibri" w:eastAsia="Calibri" w:hAnsi="Calibri"/>
          <w:sz w:val="21"/>
          <w:szCs w:val="21"/>
        </w:rPr>
        <w:t xml:space="preserve"> Baselines were captured before deployment in every case: report preparation time before automation, validation time before F&amp;B Assist, breakage and chemical cost before the Stewarding App, contract values before renegotiation. This is why this entry contains before and after evidence rather than assertions, and it is a deliberate design decision taken at the outset, not a reconstruction after the fact.</w:t>
      </w:r>
    </w:p>
    <w:p>
      <w:pPr>
        <w:pStyle w:val="ListParagraph"/>
        <w:numPr>
          <w:ilvl w:val="0"/>
          <w:numId w:val="3"/>
        </w:numPr>
        <w:spacing w:after="40" w:before="40"/>
      </w:pPr>
      <w:r>
        <w:rPr>
          <w:rFonts w:ascii="Calibri" w:cs="Calibri" w:eastAsia="Calibri" w:hAnsi="Calibri"/>
          <w:b/>
          <w:bCs/>
          <w:sz w:val="21"/>
          <w:szCs w:val="21"/>
        </w:rPr>
        <w:t xml:space="preserve">Risk is registered, priced and escalated, not absorbed quietly.</w:t>
      </w:r>
      <w:r>
        <w:rPr>
          <w:rFonts w:ascii="Calibri" w:cs="Calibri" w:eastAsia="Calibri" w:hAnsi="Calibri"/>
          <w:sz w:val="21"/>
          <w:szCs w:val="21"/>
        </w:rPr>
        <w:t xml:space="preserve"> The concerns register handed to Finance before the robot commitment, and the four criteria applied to the supplier contract register during the 2026 conflict, both come from the same discipline: name the exposure, quantify it, and put the decision in front of the person accountable for it.</w:t>
      </w:r>
    </w:p>
    <w:p>
      <w:pPr>
        <w:pStyle w:val="Heading3"/>
        <w:spacing w:after="100" w:before="240"/>
      </w:pPr>
      <w:r>
        <w:rPr>
          <w:rFonts w:ascii="Calibri" w:cs="Calibri" w:eastAsia="Calibri" w:hAnsi="Calibri"/>
          <w:b/>
          <w:bCs/>
          <w:color w:val="1F3864"/>
          <w:sz w:val="22"/>
          <w:szCs w:val="22"/>
        </w:rPr>
        <w:t xml:space="preserve">Continuing contribution</w:t>
      </w:r>
    </w:p>
    <w:p>
      <w:pPr>
        <w:spacing w:after="120" w:before="60" w:line="276"/>
        <w:jc w:val="left"/>
      </w:pPr>
      <w:r>
        <w:rPr>
          <w:rFonts w:ascii="Calibri" w:cs="Calibri" w:eastAsia="Calibri" w:hAnsi="Calibri"/>
          <w:sz w:val="21"/>
          <w:szCs w:val="21"/>
        </w:rPr>
        <w:t xml:space="preserve">The combination of an operating IT leadership role and formal business education is now applied beyond the property. The nominee delivers professional training in project management, PRINCE2, PMP preparation, leadership and technology, and structures every hotel initiative to the same standard expected of PMI and PRINCE2 practice, which is why the robot business case transferred to a second IHG property without modification.</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9. LEADERSHIP, GOVERNANCE AND SCALABILITY</w:t>
      </w:r>
    </w:p>
    <w:p>
      <w:pPr>
        <w:pStyle w:val="ListParagraph"/>
        <w:numPr>
          <w:ilvl w:val="0"/>
          <w:numId w:val="2"/>
        </w:numPr>
        <w:spacing w:after="40" w:before="40"/>
      </w:pPr>
      <w:r>
        <w:rPr>
          <w:rFonts w:ascii="Calibri" w:cs="Calibri" w:eastAsia="Calibri" w:hAnsi="Calibri"/>
          <w:b/>
          <w:bCs/>
          <w:sz w:val="21"/>
          <w:szCs w:val="21"/>
        </w:rPr>
        <w:t xml:space="preserve">Commercial discipline before technical enthusiasm.</w:t>
      </w:r>
      <w:r>
        <w:rPr>
          <w:rFonts w:ascii="Calibri" w:cs="Calibri" w:eastAsia="Calibri" w:hAnsi="Calibri"/>
          <w:sz w:val="21"/>
          <w:szCs w:val="21"/>
        </w:rPr>
        <w:t xml:space="preserve"> The robot programme was subjected to contract review, a formal concerns register and Finance sign off before any commitment. No initiative in the programme proceeded on the basis of novelty.</w:t>
      </w:r>
    </w:p>
    <w:p>
      <w:pPr>
        <w:pStyle w:val="ListParagraph"/>
        <w:numPr>
          <w:ilvl w:val="0"/>
          <w:numId w:val="2"/>
        </w:numPr>
        <w:spacing w:after="40" w:before="40"/>
      </w:pPr>
      <w:r>
        <w:rPr>
          <w:rFonts w:ascii="Calibri" w:cs="Calibri" w:eastAsia="Calibri" w:hAnsi="Calibri"/>
          <w:b/>
          <w:bCs/>
          <w:sz w:val="21"/>
          <w:szCs w:val="21"/>
        </w:rPr>
        <w:t xml:space="preserve">Evidence based decision making.</w:t>
      </w:r>
      <w:r>
        <w:rPr>
          <w:rFonts w:ascii="Calibri" w:cs="Calibri" w:eastAsia="Calibri" w:hAnsi="Calibri"/>
          <w:sz w:val="21"/>
          <w:szCs w:val="21"/>
        </w:rPr>
        <w:t xml:space="preserve"> Every claim in this entry traces to a system generated record: the robot performance dashboard, Power BI, Medallia, the supplier contract register and the Finance P&amp;L extracts.</w:t>
      </w:r>
    </w:p>
    <w:p>
      <w:pPr>
        <w:pStyle w:val="ListParagraph"/>
        <w:numPr>
          <w:ilvl w:val="0"/>
          <w:numId w:val="2"/>
        </w:numPr>
        <w:spacing w:after="40" w:before="40"/>
      </w:pPr>
      <w:r>
        <w:rPr>
          <w:rFonts w:ascii="Calibri" w:cs="Calibri" w:eastAsia="Calibri" w:hAnsi="Calibri"/>
          <w:b/>
          <w:bCs/>
          <w:sz w:val="21"/>
          <w:szCs w:val="21"/>
        </w:rPr>
        <w:t xml:space="preserve">Zero capital investment.</w:t>
      </w:r>
      <w:r>
        <w:rPr>
          <w:rFonts w:ascii="Calibri" w:cs="Calibri" w:eastAsia="Calibri" w:hAnsi="Calibri"/>
          <w:sz w:val="21"/>
          <w:szCs w:val="21"/>
        </w:rPr>
        <w:t xml:space="preserve"> Four enterprise grade platforms were delivered using existing hotel systems and internally developed capability, avoiding </w:t>
      </w:r>
      <w:r>
        <w:rPr>
          <w:rFonts w:ascii="Consolas" w:cs="Consolas" w:eastAsia="Consolas" w:hAnsi="Consolas"/>
          <w:b/>
          <w:bCs/>
          <w:color w:val="C00000"/>
          <w:sz w:val="19"/>
          <w:szCs w:val="19"/>
        </w:rPr>
        <w:t xml:space="preserve">[CONFIRM: AED __]</w:t>
      </w:r>
      <w:r>
        <w:rPr>
          <w:rFonts w:ascii="Calibri" w:cs="Calibri" w:eastAsia="Calibri" w:hAnsi="Calibri"/>
          <w:sz w:val="21"/>
          <w:szCs w:val="21"/>
        </w:rPr>
        <w:t xml:space="preserve"> in external development and licensing.</w:t>
      </w:r>
    </w:p>
    <w:p>
      <w:pPr>
        <w:pStyle w:val="ListParagraph"/>
        <w:numPr>
          <w:ilvl w:val="0"/>
          <w:numId w:val="2"/>
        </w:numPr>
        <w:spacing w:after="40" w:before="40"/>
      </w:pPr>
      <w:r>
        <w:rPr>
          <w:rFonts w:ascii="Calibri" w:cs="Calibri" w:eastAsia="Calibri" w:hAnsi="Calibri"/>
          <w:b/>
          <w:bCs/>
          <w:sz w:val="21"/>
          <w:szCs w:val="21"/>
        </w:rPr>
        <w:t xml:space="preserve">No disruption to established controls.</w:t>
      </w:r>
      <w:r>
        <w:rPr>
          <w:rFonts w:ascii="Calibri" w:cs="Calibri" w:eastAsia="Calibri" w:hAnsi="Calibri"/>
          <w:sz w:val="21"/>
          <w:szCs w:val="21"/>
        </w:rPr>
        <w:t xml:space="preserve"> Finance kept its reporting format, outlets kept their service flow, and stewarding kept its operating structure. Adoption was achieved by removing effort, not by imposing process.</w:t>
      </w:r>
    </w:p>
    <w:p>
      <w:pPr>
        <w:pStyle w:val="ListParagraph"/>
        <w:numPr>
          <w:ilvl w:val="0"/>
          <w:numId w:val="2"/>
        </w:numPr>
        <w:spacing w:after="40" w:before="40"/>
      </w:pPr>
      <w:r>
        <w:rPr>
          <w:rFonts w:ascii="Calibri" w:cs="Calibri" w:eastAsia="Calibri" w:hAnsi="Calibri"/>
          <w:b/>
          <w:bCs/>
          <w:sz w:val="21"/>
          <w:szCs w:val="21"/>
        </w:rPr>
        <w:t xml:space="preserve">Proven scalability.</w:t>
      </w:r>
      <w:r>
        <w:rPr>
          <w:rFonts w:ascii="Calibri" w:cs="Calibri" w:eastAsia="Calibri" w:hAnsi="Calibri"/>
          <w:sz w:val="21"/>
          <w:szCs w:val="21"/>
        </w:rPr>
        <w:t xml:space="preserve"> The robot business case has been adopted by InterContinental Abu Dhabi, with a second IHG property progressing to implementation. The BI, F&amp;B Assist and Stewarding platforms are built on standard IHG property systems and are portable across the estate at </w:t>
      </w:r>
      <w:r>
        <w:rPr>
          <w:rFonts w:ascii="Consolas" w:cs="Consolas" w:eastAsia="Consolas" w:hAnsi="Consolas"/>
          <w:b/>
          <w:bCs/>
          <w:color w:val="C00000"/>
          <w:sz w:val="19"/>
          <w:szCs w:val="19"/>
        </w:rPr>
        <w:t xml:space="preserve">[CONFIRM: AED __]</w:t>
      </w:r>
      <w:r>
        <w:rPr>
          <w:rFonts w:ascii="Calibri" w:cs="Calibri" w:eastAsia="Calibri" w:hAnsi="Calibri"/>
          <w:sz w:val="21"/>
          <w:szCs w:val="21"/>
        </w:rPr>
        <w:t xml:space="preserve"> marginal cost per property.</w:t>
      </w:r>
    </w:p>
    <w:p>
      <w:pPr>
        <w:pStyle w:val="ListParagraph"/>
        <w:numPr>
          <w:ilvl w:val="0"/>
          <w:numId w:val="2"/>
        </w:numPr>
        <w:spacing w:after="40" w:before="40"/>
      </w:pPr>
      <w:r>
        <w:rPr>
          <w:rFonts w:ascii="Calibri" w:cs="Calibri" w:eastAsia="Calibri" w:hAnsi="Calibri"/>
          <w:b/>
          <w:bCs/>
          <w:sz w:val="21"/>
          <w:szCs w:val="21"/>
        </w:rPr>
        <w:t xml:space="preserve">Portfolio level value.</w:t>
      </w:r>
      <w:r>
        <w:rPr>
          <w:rFonts w:ascii="Calibri" w:cs="Calibri" w:eastAsia="Calibri" w:hAnsi="Calibri"/>
          <w:sz w:val="21"/>
          <w:szCs w:val="21"/>
        </w:rPr>
        <w:t xml:space="preserve"> At </w:t>
      </w:r>
      <w:r>
        <w:rPr>
          <w:rFonts w:ascii="Consolas" w:cs="Consolas" w:eastAsia="Consolas" w:hAnsi="Consolas"/>
          <w:b/>
          <w:bCs/>
          <w:color w:val="C00000"/>
          <w:sz w:val="19"/>
          <w:szCs w:val="19"/>
        </w:rPr>
        <w:t xml:space="preserve">[CONFIRM: AED __]</w:t>
      </w:r>
      <w:r>
        <w:rPr>
          <w:rFonts w:ascii="Calibri" w:cs="Calibri" w:eastAsia="Calibri" w:hAnsi="Calibri"/>
          <w:sz w:val="21"/>
          <w:szCs w:val="21"/>
        </w:rPr>
        <w:t xml:space="preserve"> benefit per property, estate wide adoption across </w:t>
      </w:r>
      <w:r>
        <w:rPr>
          <w:rFonts w:ascii="Consolas" w:cs="Consolas" w:eastAsia="Consolas" w:hAnsi="Consolas"/>
          <w:b/>
          <w:bCs/>
          <w:color w:val="C00000"/>
          <w:sz w:val="19"/>
          <w:szCs w:val="19"/>
        </w:rPr>
        <w:t xml:space="preserve">[CONFIRM: __]</w:t>
      </w:r>
      <w:r>
        <w:rPr>
          <w:rFonts w:ascii="Calibri" w:cs="Calibri" w:eastAsia="Calibri" w:hAnsi="Calibri"/>
          <w:sz w:val="21"/>
          <w:szCs w:val="21"/>
        </w:rPr>
        <w:t xml:space="preserve"> properties represents </w:t>
      </w:r>
      <w:r>
        <w:rPr>
          <w:rFonts w:ascii="Consolas" w:cs="Consolas" w:eastAsia="Consolas" w:hAnsi="Consolas"/>
          <w:b/>
          <w:bCs/>
          <w:color w:val="C00000"/>
          <w:sz w:val="19"/>
          <w:szCs w:val="19"/>
        </w:rPr>
        <w:t xml:space="preserve">[CONFIRM: AED __]</w:t>
      </w:r>
      <w:r>
        <w:rPr>
          <w:rFonts w:ascii="Calibri" w:cs="Calibri" w:eastAsia="Calibri" w:hAnsi="Calibri"/>
          <w:sz w:val="21"/>
          <w:szCs w:val="21"/>
        </w:rPr>
        <w:t xml:space="preserve"> in group level annual value.</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10. EVIDENCE PACK TO SUBMIT WITH THE ENTRY</w:t>
      </w:r>
    </w:p>
    <w:p>
      <w:pPr>
        <w:pStyle w:val="ListParagraph"/>
        <w:numPr>
          <w:ilvl w:val="0"/>
          <w:numId w:val="3"/>
        </w:numPr>
        <w:spacing w:after="40" w:before="40"/>
      </w:pPr>
      <w:r>
        <w:rPr>
          <w:rFonts w:ascii="Calibri" w:cs="Calibri" w:eastAsia="Calibri" w:hAnsi="Calibri"/>
          <w:sz w:val="21"/>
          <w:szCs w:val="21"/>
        </w:rPr>
        <w:t xml:space="preserve">Robot performance dashboard export, 5 to 29 June 2026 (1,135 deliveries, 94 hours, 37.4 km, 99.8% completion)</w:t>
      </w:r>
    </w:p>
    <w:p>
      <w:pPr>
        <w:pStyle w:val="ListParagraph"/>
        <w:numPr>
          <w:ilvl w:val="0"/>
          <w:numId w:val="3"/>
        </w:numPr>
        <w:spacing w:after="40" w:before="40"/>
      </w:pPr>
      <w:r>
        <w:rPr>
          <w:rFonts w:ascii="Calibri" w:cs="Calibri" w:eastAsia="Calibri" w:hAnsi="Calibri"/>
          <w:sz w:val="21"/>
          <w:szCs w:val="21"/>
        </w:rPr>
        <w:t xml:space="preserve">Robot vendor contract and concerns register, with Finance sign off</w:t>
      </w:r>
    </w:p>
    <w:p>
      <w:pPr>
        <w:pStyle w:val="ListParagraph"/>
        <w:numPr>
          <w:ilvl w:val="0"/>
          <w:numId w:val="3"/>
        </w:numPr>
        <w:spacing w:after="40" w:before="40"/>
      </w:pPr>
      <w:r>
        <w:rPr>
          <w:rFonts w:ascii="Calibri" w:cs="Calibri" w:eastAsia="Calibri" w:hAnsi="Calibri"/>
          <w:sz w:val="21"/>
          <w:szCs w:val="21"/>
        </w:rPr>
        <w:t xml:space="preserve">Medallia score extract showing the 10% uplift across the pilot window</w:t>
      </w:r>
    </w:p>
    <w:p>
      <w:pPr>
        <w:pStyle w:val="ListParagraph"/>
        <w:numPr>
          <w:ilvl w:val="0"/>
          <w:numId w:val="3"/>
        </w:numPr>
        <w:spacing w:after="40" w:before="40"/>
      </w:pPr>
      <w:r>
        <w:rPr>
          <w:rFonts w:ascii="Calibri" w:cs="Calibri" w:eastAsia="Calibri" w:hAnsi="Calibri"/>
          <w:sz w:val="21"/>
          <w:szCs w:val="21"/>
        </w:rPr>
        <w:t xml:space="preserve">Power BI dashboard screenshots and the before and after Daily Revenue Report timing record</w:t>
      </w:r>
    </w:p>
    <w:p>
      <w:pPr>
        <w:pStyle w:val="ListParagraph"/>
        <w:numPr>
          <w:ilvl w:val="0"/>
          <w:numId w:val="3"/>
        </w:numPr>
        <w:spacing w:after="40" w:before="40"/>
      </w:pPr>
      <w:r>
        <w:rPr>
          <w:rFonts w:ascii="Calibri" w:cs="Calibri" w:eastAsia="Calibri" w:hAnsi="Calibri"/>
          <w:sz w:val="21"/>
          <w:szCs w:val="21"/>
        </w:rPr>
        <w:t xml:space="preserve">F&amp;B Assist outlet transaction report and the Finance leakage comparison</w:t>
      </w:r>
    </w:p>
    <w:p>
      <w:pPr>
        <w:pStyle w:val="ListParagraph"/>
        <w:numPr>
          <w:ilvl w:val="0"/>
          <w:numId w:val="3"/>
        </w:numPr>
        <w:spacing w:after="40" w:before="40"/>
      </w:pPr>
      <w:r>
        <w:rPr>
          <w:rFonts w:ascii="Calibri" w:cs="Calibri" w:eastAsia="Calibri" w:hAnsi="Calibri"/>
          <w:sz w:val="21"/>
          <w:szCs w:val="21"/>
        </w:rPr>
        <w:t xml:space="preserve">Stewarding App breakage, chemical and compliance reports, with the prior year versus current year P&amp;L extract</w:t>
      </w:r>
    </w:p>
    <w:p>
      <w:pPr>
        <w:pStyle w:val="ListParagraph"/>
        <w:numPr>
          <w:ilvl w:val="0"/>
          <w:numId w:val="3"/>
        </w:numPr>
        <w:spacing w:after="40" w:before="40"/>
      </w:pPr>
      <w:r>
        <w:rPr>
          <w:rFonts w:ascii="Calibri" w:cs="Calibri" w:eastAsia="Calibri" w:hAnsi="Calibri"/>
          <w:sz w:val="21"/>
          <w:szCs w:val="21"/>
        </w:rPr>
        <w:t xml:space="preserve">Supplier contract register showing before and after annual values</w:t>
      </w:r>
    </w:p>
    <w:p>
      <w:pPr>
        <w:pStyle w:val="ListParagraph"/>
        <w:numPr>
          <w:ilvl w:val="0"/>
          <w:numId w:val="3"/>
        </w:numPr>
        <w:spacing w:after="40" w:before="40"/>
      </w:pPr>
      <w:r>
        <w:rPr>
          <w:rFonts w:ascii="Calibri" w:cs="Calibri" w:eastAsia="Calibri" w:hAnsi="Calibri"/>
          <w:sz w:val="21"/>
          <w:szCs w:val="21"/>
        </w:rPr>
        <w:t xml:space="preserve">Connectivity contract before and after, plus uptime monitoring report for the crisis period</w:t>
      </w:r>
    </w:p>
    <w:p>
      <w:pPr>
        <w:pStyle w:val="ListParagraph"/>
        <w:numPr>
          <w:ilvl w:val="0"/>
          <w:numId w:val="3"/>
        </w:numPr>
        <w:spacing w:after="40" w:before="40"/>
      </w:pPr>
      <w:r>
        <w:rPr>
          <w:rFonts w:ascii="Calibri" w:cs="Calibri" w:eastAsia="Calibri" w:hAnsi="Calibri"/>
          <w:sz w:val="21"/>
          <w:szCs w:val="21"/>
        </w:rPr>
        <w:t xml:space="preserve">Software subscription audit showing cancelled and replaced licences</w:t>
      </w:r>
    </w:p>
    <w:p>
      <w:pPr>
        <w:pStyle w:val="ListParagraph"/>
        <w:numPr>
          <w:ilvl w:val="0"/>
          <w:numId w:val="3"/>
        </w:numPr>
        <w:spacing w:after="40" w:before="40"/>
      </w:pPr>
      <w:r>
        <w:rPr>
          <w:rFonts w:ascii="Calibri" w:cs="Calibri" w:eastAsia="Calibri" w:hAnsi="Calibri"/>
          <w:sz w:val="21"/>
          <w:szCs w:val="21"/>
        </w:rPr>
        <w:t xml:space="preserve">Written endorsement from the General Manager, Director of Finance and Executive Chef</w:t>
      </w:r>
    </w:p>
    <w:p>
      <w:pPr>
        <w:pStyle w:val="ListParagraph"/>
        <w:numPr>
          <w:ilvl w:val="0"/>
          <w:numId w:val="3"/>
        </w:numPr>
        <w:spacing w:after="40" w:before="40"/>
      </w:pPr>
      <w:r>
        <w:rPr>
          <w:rFonts w:ascii="Calibri" w:cs="Calibri" w:eastAsia="Calibri" w:hAnsi="Calibri"/>
          <w:sz w:val="21"/>
          <w:szCs w:val="21"/>
        </w:rPr>
        <w:t xml:space="preserve">Confirmation of adoption from InterContinental Abu Dhabi</w:t>
      </w:r>
    </w:p>
    <w:p>
      <w:pPr>
        <w:pStyle w:val="ListParagraph"/>
        <w:numPr>
          <w:ilvl w:val="0"/>
          <w:numId w:val="3"/>
        </w:numPr>
        <w:spacing w:after="40" w:before="40"/>
      </w:pPr>
      <w:r>
        <w:rPr>
          <w:rFonts w:ascii="Calibri" w:cs="Calibri" w:eastAsia="Calibri" w:hAnsi="Calibri"/>
          <w:sz w:val="21"/>
          <w:szCs w:val="21"/>
        </w:rPr>
        <w:t xml:space="preserve">MBA certificate and transcript, Heriot-Watt University, Edinburgh Business School</w:t>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11. INFORMATION REQUIRED TO COMPLETE THIS ENTRY</w:t>
      </w:r>
    </w:p>
    <w:p>
      <w:pPr>
        <w:spacing w:after="120" w:before="60" w:line="276"/>
        <w:jc w:val="left"/>
      </w:pPr>
      <w:r>
        <w:rPr>
          <w:rFonts w:ascii="Calibri" w:cs="Calibri" w:eastAsia="Calibri" w:hAnsi="Calibri"/>
          <w:sz w:val="21"/>
          <w:szCs w:val="21"/>
        </w:rPr>
        <w:t xml:space="preserve">Request these in one email each to Finance, Procurement, HR and F&amp;B. Priority 1 items carry the most weight with judges.</w:t>
      </w:r>
    </w:p>
    <w:tbl>
      <w:tblPr>
        <w:tblW w:type="dxa" w:w="9746"/>
        <w:tblBorders>
          <w:top w:val="single" w:color="BFBFBF" w:sz="2"/>
          <w:left w:val="single" w:color="BFBFBF" w:sz="2"/>
          <w:bottom w:val="single" w:color="BFBFBF" w:sz="2"/>
          <w:right w:val="single" w:color="BFBFBF" w:sz="2"/>
          <w:insideH w:val="single" w:color="D9D9D9" w:sz="2"/>
          <w:insideV w:val="single" w:color="D9D9D9" w:sz="2"/>
        </w:tblBorders>
      </w:tblPr>
      <w:tblGrid>
        <w:gridCol w:w="829"/>
        <w:gridCol w:w="6220"/>
        <w:gridCol w:w="1866"/>
        <w:gridCol w:w="831"/>
      </w:tblGrid>
      <w:tr>
        <w:trPr>
          <w:tblHeader/>
        </w:trPr>
        <w:tc>
          <w:tcPr>
            <w:tcW w:type="dxa" w:w="829"/>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w:t>
            </w:r>
          </w:p>
        </w:tc>
        <w:tc>
          <w:tcPr>
            <w:tcW w:type="dxa" w:w="6220"/>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Item</w:t>
            </w:r>
          </w:p>
        </w:tc>
        <w:tc>
          <w:tcPr>
            <w:tcW w:type="dxa" w:w="1866"/>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Owner</w:t>
            </w:r>
          </w:p>
        </w:tc>
        <w:tc>
          <w:tcPr>
            <w:tcW w:type="dxa" w:w="831"/>
            <w:shd w:fill="1F3864" w:color="auto" w:val="clear"/>
            <w:tcMar>
              <w:top w:type="dxa" w:w="60"/>
              <w:left w:type="dxa" w:w="110"/>
              <w:bottom w:type="dxa" w:w="60"/>
              <w:right w:type="dxa" w:w="110"/>
            </w:tcMar>
          </w:tcPr>
          <w:p>
            <w:pPr>
              <w:spacing w:after="20" w:before="20"/>
            </w:pPr>
            <w:r>
              <w:rPr>
                <w:rFonts w:ascii="Calibri" w:cs="Calibri" w:eastAsia="Calibri" w:hAnsi="Calibri"/>
                <w:b/>
                <w:bCs/>
                <w:color w:val="FFFFFF"/>
                <w:sz w:val="18"/>
                <w:szCs w:val="18"/>
              </w:rPr>
              <w:t xml:space="preserve">Priority</w:t>
            </w:r>
          </w:p>
        </w:tc>
      </w:tr>
      <w:tr>
        <w:tc>
          <w:tcPr>
            <w:tcW w:type="dxa" w:w="8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w:t>
            </w:r>
          </w:p>
        </w:tc>
        <w:tc>
          <w:tcPr>
            <w:tcW w:type="dxa" w:w="622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Operating equipment breakage and loss, prior year versus current year</w:t>
            </w:r>
          </w:p>
        </w:tc>
        <w:tc>
          <w:tcPr>
            <w:tcW w:type="dxa" w:w="186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Finance</w:t>
            </w:r>
          </w:p>
        </w:tc>
        <w:tc>
          <w:tcPr>
            <w:tcW w:type="dxa" w:w="831"/>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w:t>
            </w:r>
          </w:p>
        </w:tc>
      </w:tr>
      <w:tr>
        <w:tc>
          <w:tcPr>
            <w:tcW w:type="dxa" w:w="8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w:t>
            </w:r>
          </w:p>
        </w:tc>
        <w:tc>
          <w:tcPr>
            <w:tcW w:type="dxa" w:w="622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Chemical spend, prior year versus current year</w:t>
            </w:r>
          </w:p>
        </w:tc>
        <w:tc>
          <w:tcPr>
            <w:tcW w:type="dxa" w:w="186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Purchasing</w:t>
            </w:r>
          </w:p>
        </w:tc>
        <w:tc>
          <w:tcPr>
            <w:tcW w:type="dxa" w:w="831"/>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w:t>
            </w:r>
          </w:p>
        </w:tc>
      </w:tr>
      <w:tr>
        <w:tc>
          <w:tcPr>
            <w:tcW w:type="dxa" w:w="8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3</w:t>
            </w:r>
          </w:p>
        </w:tc>
        <w:tc>
          <w:tcPr>
            <w:tcW w:type="dxa" w:w="622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Casual labour and overtime hours in stewarding, before and after</w:t>
            </w:r>
          </w:p>
        </w:tc>
        <w:tc>
          <w:tcPr>
            <w:tcW w:type="dxa" w:w="186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HR</w:t>
            </w:r>
          </w:p>
        </w:tc>
        <w:tc>
          <w:tcPr>
            <w:tcW w:type="dxa" w:w="831"/>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w:t>
            </w:r>
          </w:p>
        </w:tc>
      </w:tr>
      <w:tr>
        <w:tc>
          <w:tcPr>
            <w:tcW w:type="dxa" w:w="8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4</w:t>
            </w:r>
          </w:p>
        </w:tc>
        <w:tc>
          <w:tcPr>
            <w:tcW w:type="dxa" w:w="622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Connectivity contract monthly value, before and after</w:t>
            </w:r>
          </w:p>
        </w:tc>
        <w:tc>
          <w:tcPr>
            <w:tcW w:type="dxa" w:w="186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IT and Procurement</w:t>
            </w:r>
          </w:p>
        </w:tc>
        <w:tc>
          <w:tcPr>
            <w:tcW w:type="dxa" w:w="831"/>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w:t>
            </w:r>
          </w:p>
        </w:tc>
      </w:tr>
      <w:tr>
        <w:tc>
          <w:tcPr>
            <w:tcW w:type="dxa" w:w="8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5</w:t>
            </w:r>
          </w:p>
        </w:tc>
        <w:tc>
          <w:tcPr>
            <w:tcW w:type="dxa" w:w="622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Supplier contracts renegotiated: count, annual value before and after</w:t>
            </w:r>
          </w:p>
        </w:tc>
        <w:tc>
          <w:tcPr>
            <w:tcW w:type="dxa" w:w="186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Procurement</w:t>
            </w:r>
          </w:p>
        </w:tc>
        <w:tc>
          <w:tcPr>
            <w:tcW w:type="dxa" w:w="831"/>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w:t>
            </w:r>
          </w:p>
        </w:tc>
      </w:tr>
      <w:tr>
        <w:tc>
          <w:tcPr>
            <w:tcW w:type="dxa" w:w="8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6</w:t>
            </w:r>
          </w:p>
        </w:tc>
        <w:tc>
          <w:tcPr>
            <w:tcW w:type="dxa" w:w="622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Software subscriptions cancelled or replaced: annual value</w:t>
            </w:r>
          </w:p>
        </w:tc>
        <w:tc>
          <w:tcPr>
            <w:tcW w:type="dxa" w:w="186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IT</w:t>
            </w:r>
          </w:p>
        </w:tc>
        <w:tc>
          <w:tcPr>
            <w:tcW w:type="dxa" w:w="831"/>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w:t>
            </w:r>
          </w:p>
        </w:tc>
      </w:tr>
      <w:tr>
        <w:tc>
          <w:tcPr>
            <w:tcW w:type="dxa" w:w="8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7</w:t>
            </w:r>
          </w:p>
        </w:tc>
        <w:tc>
          <w:tcPr>
            <w:tcW w:type="dxa" w:w="622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Daily covers, mis validation rate and average cover value for F&amp;B outlets</w:t>
            </w:r>
          </w:p>
        </w:tc>
        <w:tc>
          <w:tcPr>
            <w:tcW w:type="dxa" w:w="186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F&amp;B and Finance</w:t>
            </w:r>
          </w:p>
        </w:tc>
        <w:tc>
          <w:tcPr>
            <w:tcW w:type="dxa" w:w="831"/>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w:t>
            </w:r>
          </w:p>
        </w:tc>
      </w:tr>
      <w:tr>
        <w:tc>
          <w:tcPr>
            <w:tcW w:type="dxa" w:w="8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8</w:t>
            </w:r>
          </w:p>
        </w:tc>
        <w:tc>
          <w:tcPr>
            <w:tcW w:type="dxa" w:w="622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Fully loaded management hourly rate for Finance, Revenue and Executive</w:t>
            </w:r>
          </w:p>
        </w:tc>
        <w:tc>
          <w:tcPr>
            <w:tcW w:type="dxa" w:w="186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HR</w:t>
            </w:r>
          </w:p>
        </w:tc>
        <w:tc>
          <w:tcPr>
            <w:tcW w:type="dxa" w:w="831"/>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w:t>
            </w:r>
          </w:p>
        </w:tc>
      </w:tr>
      <w:tr>
        <w:tc>
          <w:tcPr>
            <w:tcW w:type="dxa" w:w="8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9</w:t>
            </w:r>
          </w:p>
        </w:tc>
        <w:tc>
          <w:tcPr>
            <w:tcW w:type="dxa" w:w="622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Fully loaded multi shift cost of the equivalent service role</w:t>
            </w:r>
          </w:p>
        </w:tc>
        <w:tc>
          <w:tcPr>
            <w:tcW w:type="dxa" w:w="186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HR</w:t>
            </w:r>
          </w:p>
        </w:tc>
        <w:tc>
          <w:tcPr>
            <w:tcW w:type="dxa" w:w="831"/>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w:t>
            </w:r>
          </w:p>
        </w:tc>
      </w:tr>
      <w:tr>
        <w:tc>
          <w:tcPr>
            <w:tcW w:type="dxa" w:w="8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10</w:t>
            </w:r>
          </w:p>
        </w:tc>
        <w:tc>
          <w:tcPr>
            <w:tcW w:type="dxa" w:w="622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External quotation for equivalent BI, F&amp;B and stewarding products</w:t>
            </w:r>
          </w:p>
        </w:tc>
        <w:tc>
          <w:tcPr>
            <w:tcW w:type="dxa" w:w="186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Procurement</w:t>
            </w:r>
          </w:p>
        </w:tc>
        <w:tc>
          <w:tcPr>
            <w:tcW w:type="dxa" w:w="831"/>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w:t>
            </w:r>
          </w:p>
        </w:tc>
      </w:tr>
      <w:tr>
        <w:tc>
          <w:tcPr>
            <w:tcW w:type="dxa" w:w="8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11</w:t>
            </w:r>
          </w:p>
        </w:tc>
        <w:tc>
          <w:tcPr>
            <w:tcW w:type="dxa" w:w="622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System availability and guest internet uptime during the crisis period</w:t>
            </w:r>
          </w:p>
        </w:tc>
        <w:tc>
          <w:tcPr>
            <w:tcW w:type="dxa" w:w="186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IT</w:t>
            </w:r>
          </w:p>
        </w:tc>
        <w:tc>
          <w:tcPr>
            <w:tcW w:type="dxa" w:w="831"/>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w:t>
            </w:r>
          </w:p>
        </w:tc>
      </w:tr>
      <w:tr>
        <w:tc>
          <w:tcPr>
            <w:tcW w:type="dxa" w:w="8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12</w:t>
            </w:r>
          </w:p>
        </w:tc>
        <w:tc>
          <w:tcPr>
            <w:tcW w:type="dxa" w:w="622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Medallia score movement across the crisis period</w:t>
            </w:r>
          </w:p>
        </w:tc>
        <w:tc>
          <w:tcPr>
            <w:tcW w:type="dxa" w:w="186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Quality</w:t>
            </w:r>
          </w:p>
        </w:tc>
        <w:tc>
          <w:tcPr>
            <w:tcW w:type="dxa" w:w="831"/>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w:t>
            </w:r>
          </w:p>
        </w:tc>
      </w:tr>
      <w:tr>
        <w:tc>
          <w:tcPr>
            <w:tcW w:type="dxa" w:w="829"/>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13</w:t>
            </w:r>
          </w:p>
        </w:tc>
        <w:tc>
          <w:tcPr>
            <w:tcW w:type="dxa" w:w="6220"/>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Number of IHG properties in scope for estate wide rollout</w:t>
            </w:r>
          </w:p>
        </w:tc>
        <w:tc>
          <w:tcPr>
            <w:tcW w:type="dxa" w:w="1866"/>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Regional IT</w:t>
            </w:r>
          </w:p>
        </w:tc>
        <w:tc>
          <w:tcPr>
            <w:tcW w:type="dxa" w:w="831"/>
            <w:shd w:fill="FFFFFF"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3</w:t>
            </w:r>
          </w:p>
        </w:tc>
      </w:tr>
      <w:tr>
        <w:tc>
          <w:tcPr>
            <w:tcW w:type="dxa" w:w="829"/>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14</w:t>
            </w:r>
          </w:p>
        </w:tc>
        <w:tc>
          <w:tcPr>
            <w:tcW w:type="dxa" w:w="6220"/>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MBA graduation month and year, plus certificate copy</w:t>
            </w:r>
          </w:p>
        </w:tc>
        <w:tc>
          <w:tcPr>
            <w:tcW w:type="dxa" w:w="1866"/>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Nominee</w:t>
            </w:r>
          </w:p>
        </w:tc>
        <w:tc>
          <w:tcPr>
            <w:tcW w:type="dxa" w:w="831"/>
            <w:shd w:fill="F2F5F9"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w:t>
            </w:r>
          </w:p>
        </w:tc>
      </w:tr>
    </w:tbl>
    <w:p>
      <w:pPr>
        <w:spacing w:after="180"/>
      </w:pPr>
      <w:r>
        <w:t xml:space="preserve"/>
      </w:r>
    </w:p>
    <w:p>
      <w:pPr>
        <w:pBdr>
          <w:bottom w:val="single" w:color="B08D57" w:sz="6" w:space="1"/>
        </w:pBdr>
        <w:spacing w:after="160" w:before="60"/>
      </w:pPr>
      <w:r>
        <w:t xml:space="preserve"/>
      </w:r>
    </w:p>
    <w:p>
      <w:pPr>
        <w:pStyle w:val="Heading2"/>
        <w:pBdr>
          <w:bottom w:val="single" w:color="B08D57" w:sz="8" w:space="4"/>
        </w:pBdr>
        <w:spacing w:after="140" w:before="340"/>
      </w:pPr>
      <w:r>
        <w:rPr>
          <w:rFonts w:ascii="Calibri" w:cs="Calibri" w:eastAsia="Calibri" w:hAnsi="Calibri"/>
          <w:b/>
          <w:bCs/>
          <w:color w:val="1F3864"/>
          <w:sz w:val="26"/>
          <w:szCs w:val="26"/>
        </w:rPr>
        <w:t xml:space="preserve">12. SUBMISSION NOTES</w:t>
      </w:r>
    </w:p>
    <w:p>
      <w:pPr>
        <w:pStyle w:val="ListParagraph"/>
        <w:numPr>
          <w:ilvl w:val="0"/>
          <w:numId w:val="2"/>
        </w:numPr>
        <w:spacing w:after="40" w:before="40"/>
      </w:pPr>
      <w:r>
        <w:rPr>
          <w:rFonts w:ascii="Calibri" w:cs="Calibri" w:eastAsia="Calibri" w:hAnsi="Calibri"/>
          <w:sz w:val="21"/>
          <w:szCs w:val="21"/>
        </w:rPr>
        <w:t xml:space="preserve">Hotelier Middle East entries are typically word limited per section. If a limit applies, submit Section 1 (Executive Entry Summary) and Section 2 (Programme Impact) as the entry body, and attach Sections 3 to 8 as the supporting document.</w:t>
      </w:r>
    </w:p>
    <w:p>
      <w:pPr>
        <w:pStyle w:val="ListParagraph"/>
        <w:numPr>
          <w:ilvl w:val="0"/>
          <w:numId w:val="2"/>
        </w:numPr>
        <w:spacing w:after="40" w:before="40"/>
      </w:pPr>
      <w:r>
        <w:rPr>
          <w:rFonts w:ascii="Calibri" w:cs="Calibri" w:eastAsia="Calibri" w:hAnsi="Calibri"/>
          <w:sz w:val="21"/>
          <w:szCs w:val="21"/>
        </w:rPr>
        <w:t xml:space="preserve">Lead with the Stewarding App and the crisis response if the category emphasis is business impact, and lead with the robot programme if the emphasis is innovation.</w:t>
      </w:r>
    </w:p>
    <w:p>
      <w:pPr>
        <w:pStyle w:val="ListParagraph"/>
        <w:numPr>
          <w:ilvl w:val="0"/>
          <w:numId w:val="2"/>
        </w:numPr>
        <w:spacing w:after="40" w:before="40"/>
      </w:pPr>
      <w:r>
        <w:rPr>
          <w:rFonts w:ascii="Calibri" w:cs="Calibri" w:eastAsia="Calibri" w:hAnsi="Calibri"/>
          <w:sz w:val="21"/>
          <w:szCs w:val="21"/>
        </w:rPr>
        <w:t xml:space="preserve">Every percentage claim should be paired with the absolute dirham value. Judges discount percentages presented alone.</w:t>
      </w:r>
    </w:p>
    <w:p>
      <w:pPr>
        <w:pStyle w:val="ListParagraph"/>
        <w:numPr>
          <w:ilvl w:val="0"/>
          <w:numId w:val="2"/>
        </w:numPr>
        <w:spacing w:after="40" w:before="40"/>
      </w:pPr>
      <w:r>
        <w:rPr>
          <w:rFonts w:ascii="Calibri" w:cs="Calibri" w:eastAsia="Calibri" w:hAnsi="Calibri"/>
          <w:sz w:val="21"/>
          <w:szCs w:val="21"/>
        </w:rPr>
        <w:t xml:space="preserve">Pair the MBA with the delivery record rather than listing it as a credential. The point that lands with judges is not that the degree exists, it is that a 200 key property gained four platforms and a governed crisis response from someone applying that education in role while studying for it.</w:t>
      </w:r>
    </w:p>
    <w:p>
      <w:pPr>
        <w:pStyle w:val="ListParagraph"/>
        <w:numPr>
          <w:ilvl w:val="0"/>
          <w:numId w:val="2"/>
        </w:numPr>
        <w:spacing w:after="40" w:before="40"/>
      </w:pPr>
      <w:r>
        <w:rPr>
          <w:rFonts w:ascii="Calibri" w:cs="Calibri" w:eastAsia="Calibri" w:hAnsi="Calibri"/>
          <w:sz w:val="21"/>
          <w:szCs w:val="21"/>
        </w:rPr>
        <w:t xml:space="preserve">State clearly that all four platforms were built in house by the nominee. That is the single strongest differentiator in this category, because most competing entries describe a vendor implementation that the nominee managed rather than a solution the nominee created.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746"/>
      </w:tabs>
    </w:pPr>
    <w:r>
      <w:rPr>
        <w:rFonts w:ascii="Calibri" w:cs="Calibri" w:eastAsia="Calibri" w:hAnsi="Calibri"/>
        <w:color w:val="808080"/>
        <w:sz w:val="16"/>
        <w:szCs w:val="16"/>
      </w:rPr>
      <w:t xml:space="preserve">Hotelier Middle East Awards 2026  |  IT Person of the Year  |  Mohamed Ezzeldin</w:t>
    </w:r>
    <w:r>
      <w:rPr>
        <w:sz w:val="16"/>
        <w:szCs w:val="16"/>
      </w:rPr>
      <w:t xml:space="preserve">	</w:t>
    </w: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Hotelier Middle East Awards 2026 - IT Person of the Year</dc:title>
  <dc:creator>Mohamed Ezzeldin</dc:creator>
  <dc:description>Award submission: AI, Automation and Cost Resilience Programme</dc:description>
  <cp:lastModifiedBy>Un-named</cp:lastModifiedBy>
  <cp:revision>1</cp:revision>
  <dcterms:created xsi:type="dcterms:W3CDTF">2026-09-07T05:09:59.341Z</dcterms:created>
  <dcterms:modified xsi:type="dcterms:W3CDTF">2026-09-07T05:09:59.342Z</dcterms:modified>
</cp:coreProperties>
</file>

<file path=docProps/custom.xml><?xml version="1.0" encoding="utf-8"?>
<Properties xmlns="http://schemas.openxmlformats.org/officeDocument/2006/custom-properties" xmlns:vt="http://schemas.openxmlformats.org/officeDocument/2006/docPropsVTypes"/>
</file>