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010FF" w14:paraId="074D47F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tcPr>
          <w:p w14:paraId="01F257F0" w14:textId="77777777" w:rsidR="001010FF" w:rsidRDefault="006F7657">
            <w:pPr>
              <w:spacing w:after="120"/>
              <w:jc w:val="center"/>
            </w:pPr>
            <w:r>
              <w:rPr>
                <w:b/>
                <w:bCs/>
                <w:color w:val="FFFFFF"/>
                <w:sz w:val="52"/>
                <w:szCs w:val="52"/>
              </w:rPr>
              <w:t>MEDICAL TRANSPORT</w:t>
            </w:r>
          </w:p>
          <w:p w14:paraId="49245459" w14:textId="77777777" w:rsidR="001010FF" w:rsidRDefault="006F7657">
            <w:pPr>
              <w:spacing w:after="200"/>
              <w:jc w:val="center"/>
            </w:pPr>
            <w:r>
              <w:rPr>
                <w:b/>
                <w:bCs/>
                <w:color w:val="A8C4E0"/>
                <w:sz w:val="36"/>
                <w:szCs w:val="36"/>
              </w:rPr>
              <w:t>OPERATIONS ANALYTICS REPORT</w:t>
            </w:r>
          </w:p>
          <w:p w14:paraId="11C4C316" w14:textId="77777777" w:rsidR="001010FF" w:rsidRDefault="006F7657">
            <w:pPr>
              <w:spacing w:after="100"/>
              <w:jc w:val="center"/>
            </w:pPr>
            <w:r>
              <w:rPr>
                <w:color w:val="A8C4E0"/>
                <w:sz w:val="24"/>
                <w:szCs w:val="24"/>
              </w:rPr>
              <w:t>January — December 2025</w:t>
            </w:r>
          </w:p>
          <w:p w14:paraId="447CEAEC" w14:textId="77777777" w:rsidR="001010FF" w:rsidRDefault="006F7657">
            <w:pPr>
              <w:jc w:val="center"/>
            </w:pPr>
            <w:r>
              <w:rPr>
                <w:color w:val="7EA8D8"/>
              </w:rPr>
              <w:t>Evidence-Based Decision Intelligence for Healthcare Leadership</w:t>
            </w:r>
          </w:p>
        </w:tc>
      </w:tr>
    </w:tbl>
    <w:p w14:paraId="3ACE753F" w14:textId="77777777" w:rsidR="001010FF" w:rsidRDefault="001010FF">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010FF" w14:paraId="650BFB8E" w14:textId="77777777">
        <w:tblPrEx>
          <w:tblCellMar>
            <w:top w:w="0" w:type="dxa"/>
            <w:bottom w:w="0" w:type="dxa"/>
          </w:tblCellMar>
        </w:tblPrEx>
        <w:tc>
          <w:tcPr>
            <w:tcW w:w="10080" w:type="dxa"/>
            <w:tcBorders>
              <w:top w:val="single" w:sz="1" w:space="0" w:color="D0D7E5"/>
              <w:left w:val="single" w:sz="16" w:space="0" w:color="E67E22"/>
              <w:bottom w:val="single" w:sz="1" w:space="0" w:color="D0D7E5"/>
              <w:right w:val="single" w:sz="1" w:space="0" w:color="D0D7E5"/>
            </w:tcBorders>
            <w:shd w:val="clear" w:color="auto" w:fill="F5F7FA"/>
            <w:tcMar>
              <w:top w:w="200" w:type="dxa"/>
              <w:left w:w="280" w:type="dxa"/>
              <w:bottom w:w="200" w:type="dxa"/>
              <w:right w:w="200" w:type="dxa"/>
            </w:tcMar>
          </w:tcPr>
          <w:p w14:paraId="1D74B34D" w14:textId="77777777" w:rsidR="001010FF" w:rsidRDefault="006F7657">
            <w:pPr>
              <w:spacing w:after="100"/>
            </w:pPr>
            <w:r>
              <w:rPr>
                <w:b/>
                <w:bCs/>
                <w:color w:val="E67E22"/>
                <w:sz w:val="22"/>
                <w:szCs w:val="22"/>
              </w:rPr>
              <w:t>EXECUTIVE SUMMARY</w:t>
            </w:r>
          </w:p>
          <w:p w14:paraId="210F5A68" w14:textId="77777777" w:rsidR="001010FF" w:rsidRDefault="006F7657">
            <w:pPr>
              <w:spacing w:before="60" w:after="60"/>
            </w:pPr>
            <w:r>
              <w:rPr>
                <w:color w:val="4A4A6A"/>
              </w:rPr>
              <w:t>This report covers 12 months of operational data across 20 transport centers, tracking 14,169 patient transfers handled by 219 paramedics with 85 ambulances serving 4 major hospitals. Performance analysis reveals critical opportunities for process optimization — particularly in response time classification, where 95.3% of missions are currently rated Late, suggesting a need to recalibrate performance benchmarks aligned with real-world operational constraints.</w:t>
            </w:r>
          </w:p>
        </w:tc>
      </w:tr>
    </w:tbl>
    <w:p w14:paraId="17BE6422" w14:textId="77777777" w:rsidR="001010FF" w:rsidRDefault="001010FF">
      <w:pPr>
        <w:spacing w:before="80" w:after="80"/>
      </w:pPr>
    </w:p>
    <w:p w14:paraId="7E143541" w14:textId="77777777" w:rsidR="001010FF" w:rsidRDefault="006F7657">
      <w:pPr>
        <w:pBdr>
          <w:left w:val="single" w:sz="24" w:space="0" w:color="E67E22"/>
        </w:pBdr>
        <w:shd w:val="clear" w:color="auto" w:fill="0D7377"/>
        <w:spacing w:before="320" w:after="120"/>
      </w:pPr>
      <w:r>
        <w:rPr>
          <w:sz w:val="24"/>
          <w:szCs w:val="24"/>
        </w:rPr>
        <w:t xml:space="preserve">  </w:t>
      </w:r>
      <w:r>
        <w:rPr>
          <w:b/>
          <w:bCs/>
          <w:color w:val="FFFFFF"/>
          <w:sz w:val="24"/>
          <w:szCs w:val="24"/>
        </w:rPr>
        <w:t xml:space="preserve">  KEY PERFORMANCE INDICATORS</w:t>
      </w:r>
    </w:p>
    <w:p w14:paraId="684BF4B3" w14:textId="77777777" w:rsidR="001010FF" w:rsidRDefault="001010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010FF" w14:paraId="08495C3E"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8F4FD"/>
            <w:tcMar>
              <w:top w:w="160" w:type="dxa"/>
              <w:left w:w="200" w:type="dxa"/>
              <w:bottom w:w="160" w:type="dxa"/>
              <w:right w:w="200" w:type="dxa"/>
            </w:tcMar>
          </w:tcPr>
          <w:p w14:paraId="44F75B0E" w14:textId="77777777" w:rsidR="001010FF" w:rsidRDefault="006F7657">
            <w:pPr>
              <w:spacing w:after="40"/>
              <w:jc w:val="center"/>
            </w:pPr>
            <w:r>
              <w:rPr>
                <w:b/>
                <w:bCs/>
                <w:color w:val="1B3A6B"/>
                <w:sz w:val="52"/>
                <w:szCs w:val="52"/>
              </w:rPr>
              <w:t>14,169</w:t>
            </w:r>
          </w:p>
          <w:p w14:paraId="606D14BB" w14:textId="77777777" w:rsidR="001010FF" w:rsidRDefault="006F7657">
            <w:pPr>
              <w:spacing w:after="20"/>
              <w:jc w:val="center"/>
            </w:pPr>
            <w:r>
              <w:rPr>
                <w:b/>
                <w:bCs/>
                <w:color w:val="1B3A6B"/>
                <w:sz w:val="19"/>
                <w:szCs w:val="19"/>
              </w:rPr>
              <w:t>Total Transfers</w:t>
            </w:r>
          </w:p>
          <w:p w14:paraId="53C1324F" w14:textId="77777777" w:rsidR="001010FF" w:rsidRDefault="006F7657">
            <w:pPr>
              <w:jc w:val="center"/>
            </w:pPr>
            <w:r>
              <w:rPr>
                <w:color w:val="4A4A6A"/>
                <w:sz w:val="17"/>
                <w:szCs w:val="17"/>
              </w:rPr>
              <w:t>Full Year 2025</w:t>
            </w:r>
          </w:p>
        </w:tc>
        <w:tc>
          <w:tcPr>
            <w:tcW w:w="2340" w:type="dxa"/>
            <w:tcBorders>
              <w:top w:val="none" w:sz="0" w:space="0" w:color="FFFFFF"/>
              <w:left w:val="none" w:sz="0" w:space="0" w:color="FFFFFF"/>
              <w:bottom w:val="none" w:sz="0" w:space="0" w:color="FFFFFF"/>
              <w:right w:val="none" w:sz="0" w:space="0" w:color="FFFFFF"/>
            </w:tcBorders>
            <w:shd w:val="clear" w:color="auto" w:fill="E8F4FD"/>
            <w:tcMar>
              <w:top w:w="160" w:type="dxa"/>
              <w:left w:w="200" w:type="dxa"/>
              <w:bottom w:w="160" w:type="dxa"/>
              <w:right w:w="200" w:type="dxa"/>
            </w:tcMar>
          </w:tcPr>
          <w:p w14:paraId="35B3DB83" w14:textId="77777777" w:rsidR="001010FF" w:rsidRDefault="006F7657">
            <w:pPr>
              <w:spacing w:after="40"/>
              <w:jc w:val="center"/>
            </w:pPr>
            <w:r>
              <w:rPr>
                <w:b/>
                <w:bCs/>
                <w:color w:val="0D7377"/>
                <w:sz w:val="52"/>
                <w:szCs w:val="52"/>
              </w:rPr>
              <w:t>20</w:t>
            </w:r>
          </w:p>
          <w:p w14:paraId="4FF9101F" w14:textId="77777777" w:rsidR="001010FF" w:rsidRDefault="006F7657">
            <w:pPr>
              <w:spacing w:after="20"/>
              <w:jc w:val="center"/>
            </w:pPr>
            <w:r>
              <w:rPr>
                <w:b/>
                <w:bCs/>
                <w:color w:val="1B3A6B"/>
                <w:sz w:val="19"/>
                <w:szCs w:val="19"/>
              </w:rPr>
              <w:t>Active Centers</w:t>
            </w:r>
          </w:p>
          <w:p w14:paraId="20EC65CE" w14:textId="77777777" w:rsidR="001010FF" w:rsidRDefault="006F7657">
            <w:pPr>
              <w:jc w:val="center"/>
            </w:pPr>
            <w:r>
              <w:rPr>
                <w:color w:val="4A4A6A"/>
                <w:sz w:val="17"/>
                <w:szCs w:val="17"/>
              </w:rPr>
              <w:t>Across the Network</w:t>
            </w:r>
          </w:p>
        </w:tc>
        <w:tc>
          <w:tcPr>
            <w:tcW w:w="2340" w:type="dxa"/>
            <w:tcBorders>
              <w:top w:val="none" w:sz="0" w:space="0" w:color="FFFFFF"/>
              <w:left w:val="none" w:sz="0" w:space="0" w:color="FFFFFF"/>
              <w:bottom w:val="none" w:sz="0" w:space="0" w:color="FFFFFF"/>
              <w:right w:val="none" w:sz="0" w:space="0" w:color="FFFFFF"/>
            </w:tcBorders>
            <w:shd w:val="clear" w:color="auto" w:fill="E8F4FD"/>
            <w:tcMar>
              <w:top w:w="160" w:type="dxa"/>
              <w:left w:w="200" w:type="dxa"/>
              <w:bottom w:w="160" w:type="dxa"/>
              <w:right w:w="200" w:type="dxa"/>
            </w:tcMar>
          </w:tcPr>
          <w:p w14:paraId="280A62EF" w14:textId="77777777" w:rsidR="001010FF" w:rsidRDefault="006F7657">
            <w:pPr>
              <w:spacing w:after="40"/>
              <w:jc w:val="center"/>
            </w:pPr>
            <w:r>
              <w:rPr>
                <w:b/>
                <w:bCs/>
                <w:color w:val="0D7377"/>
                <w:sz w:val="52"/>
                <w:szCs w:val="52"/>
              </w:rPr>
              <w:t>219</w:t>
            </w:r>
          </w:p>
          <w:p w14:paraId="31822F29" w14:textId="77777777" w:rsidR="001010FF" w:rsidRDefault="006F7657">
            <w:pPr>
              <w:spacing w:after="20"/>
              <w:jc w:val="center"/>
            </w:pPr>
            <w:r>
              <w:rPr>
                <w:b/>
                <w:bCs/>
                <w:color w:val="1B3A6B"/>
                <w:sz w:val="19"/>
                <w:szCs w:val="19"/>
              </w:rPr>
              <w:t>Active Paramedics</w:t>
            </w:r>
          </w:p>
          <w:p w14:paraId="6A58048B" w14:textId="77777777" w:rsidR="001010FF" w:rsidRDefault="006F7657">
            <w:pPr>
              <w:jc w:val="center"/>
            </w:pPr>
            <w:r>
              <w:rPr>
                <w:color w:val="4A4A6A"/>
                <w:sz w:val="17"/>
                <w:szCs w:val="17"/>
              </w:rPr>
              <w:t>Field Staff</w:t>
            </w:r>
          </w:p>
        </w:tc>
        <w:tc>
          <w:tcPr>
            <w:tcW w:w="2340" w:type="dxa"/>
            <w:tcBorders>
              <w:top w:val="none" w:sz="0" w:space="0" w:color="FFFFFF"/>
              <w:left w:val="none" w:sz="0" w:space="0" w:color="FFFFFF"/>
              <w:bottom w:val="none" w:sz="0" w:space="0" w:color="FFFFFF"/>
              <w:right w:val="none" w:sz="0" w:space="0" w:color="FFFFFF"/>
            </w:tcBorders>
            <w:shd w:val="clear" w:color="auto" w:fill="E8F4FD"/>
            <w:tcMar>
              <w:top w:w="160" w:type="dxa"/>
              <w:left w:w="200" w:type="dxa"/>
              <w:bottom w:w="160" w:type="dxa"/>
              <w:right w:w="200" w:type="dxa"/>
            </w:tcMar>
          </w:tcPr>
          <w:p w14:paraId="4DB341BB" w14:textId="77777777" w:rsidR="001010FF" w:rsidRDefault="006F7657">
            <w:pPr>
              <w:spacing w:after="40"/>
              <w:jc w:val="center"/>
            </w:pPr>
            <w:r>
              <w:rPr>
                <w:b/>
                <w:bCs/>
                <w:color w:val="0D7377"/>
                <w:sz w:val="52"/>
                <w:szCs w:val="52"/>
              </w:rPr>
              <w:t>85</w:t>
            </w:r>
          </w:p>
          <w:p w14:paraId="70ED78B9" w14:textId="77777777" w:rsidR="001010FF" w:rsidRDefault="006F7657">
            <w:pPr>
              <w:spacing w:after="20"/>
              <w:jc w:val="center"/>
            </w:pPr>
            <w:r>
              <w:rPr>
                <w:b/>
                <w:bCs/>
                <w:color w:val="1B3A6B"/>
                <w:sz w:val="19"/>
                <w:szCs w:val="19"/>
              </w:rPr>
              <w:t>Ambulances Deployed</w:t>
            </w:r>
          </w:p>
          <w:p w14:paraId="613D5095" w14:textId="77777777" w:rsidR="001010FF" w:rsidRDefault="006F7657">
            <w:pPr>
              <w:jc w:val="center"/>
            </w:pPr>
            <w:r>
              <w:rPr>
                <w:color w:val="4A4A6A"/>
                <w:sz w:val="17"/>
                <w:szCs w:val="17"/>
              </w:rPr>
              <w:t>Fleet Size</w:t>
            </w:r>
          </w:p>
        </w:tc>
      </w:tr>
    </w:tbl>
    <w:p w14:paraId="01647086" w14:textId="77777777" w:rsidR="001010FF" w:rsidRDefault="001010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010FF" w14:paraId="307B227F"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8F4FD"/>
            <w:tcMar>
              <w:top w:w="160" w:type="dxa"/>
              <w:left w:w="200" w:type="dxa"/>
              <w:bottom w:w="160" w:type="dxa"/>
              <w:right w:w="200" w:type="dxa"/>
            </w:tcMar>
          </w:tcPr>
          <w:p w14:paraId="053D686D" w14:textId="77777777" w:rsidR="001010FF" w:rsidRDefault="006F7657">
            <w:pPr>
              <w:spacing w:after="40"/>
              <w:jc w:val="center"/>
            </w:pPr>
            <w:r>
              <w:rPr>
                <w:b/>
                <w:bCs/>
                <w:color w:val="0D7377"/>
                <w:sz w:val="52"/>
                <w:szCs w:val="52"/>
              </w:rPr>
              <w:t>14.5 min</w:t>
            </w:r>
          </w:p>
          <w:p w14:paraId="1FDBC35D" w14:textId="77777777" w:rsidR="001010FF" w:rsidRDefault="006F7657">
            <w:pPr>
              <w:spacing w:after="20"/>
              <w:jc w:val="center"/>
            </w:pPr>
            <w:r>
              <w:rPr>
                <w:b/>
                <w:bCs/>
                <w:color w:val="1B3A6B"/>
                <w:sz w:val="19"/>
                <w:szCs w:val="19"/>
              </w:rPr>
              <w:t>Avg Response Time</w:t>
            </w:r>
          </w:p>
          <w:p w14:paraId="4CE29ABD" w14:textId="77777777" w:rsidR="001010FF" w:rsidRDefault="006F7657">
            <w:pPr>
              <w:jc w:val="center"/>
            </w:pPr>
            <w:r>
              <w:rPr>
                <w:color w:val="4A4A6A"/>
                <w:sz w:val="17"/>
                <w:szCs w:val="17"/>
              </w:rPr>
              <w:t>Acceptance → Departure</w:t>
            </w:r>
          </w:p>
        </w:tc>
        <w:tc>
          <w:tcPr>
            <w:tcW w:w="2340" w:type="dxa"/>
            <w:tcBorders>
              <w:top w:val="none" w:sz="0" w:space="0" w:color="FFFFFF"/>
              <w:left w:val="none" w:sz="0" w:space="0" w:color="FFFFFF"/>
              <w:bottom w:val="none" w:sz="0" w:space="0" w:color="FFFFFF"/>
              <w:right w:val="none" w:sz="0" w:space="0" w:color="FFFFFF"/>
            </w:tcBorders>
            <w:shd w:val="clear" w:color="auto" w:fill="E8F4FD"/>
            <w:tcMar>
              <w:top w:w="160" w:type="dxa"/>
              <w:left w:w="200" w:type="dxa"/>
              <w:bottom w:w="160" w:type="dxa"/>
              <w:right w:w="200" w:type="dxa"/>
            </w:tcMar>
          </w:tcPr>
          <w:p w14:paraId="2C5717F2" w14:textId="77777777" w:rsidR="001010FF" w:rsidRDefault="006F7657">
            <w:pPr>
              <w:spacing w:after="40"/>
              <w:jc w:val="center"/>
            </w:pPr>
            <w:r>
              <w:rPr>
                <w:b/>
                <w:bCs/>
                <w:color w:val="0D7377"/>
                <w:sz w:val="52"/>
                <w:szCs w:val="52"/>
              </w:rPr>
              <w:t>5.5 min</w:t>
            </w:r>
          </w:p>
          <w:p w14:paraId="243E6174" w14:textId="77777777" w:rsidR="001010FF" w:rsidRDefault="006F7657">
            <w:pPr>
              <w:spacing w:after="20"/>
              <w:jc w:val="center"/>
            </w:pPr>
            <w:r>
              <w:rPr>
                <w:b/>
                <w:bCs/>
                <w:color w:val="1B3A6B"/>
                <w:sz w:val="19"/>
                <w:szCs w:val="19"/>
              </w:rPr>
              <w:t>Avg Dispatch Time</w:t>
            </w:r>
          </w:p>
          <w:p w14:paraId="082D5E02" w14:textId="77777777" w:rsidR="001010FF" w:rsidRDefault="006F7657">
            <w:pPr>
              <w:jc w:val="center"/>
            </w:pPr>
            <w:r>
              <w:rPr>
                <w:color w:val="4A4A6A"/>
                <w:sz w:val="17"/>
                <w:szCs w:val="17"/>
              </w:rPr>
              <w:t>Report → Departure</w:t>
            </w:r>
          </w:p>
        </w:tc>
        <w:tc>
          <w:tcPr>
            <w:tcW w:w="2340" w:type="dxa"/>
            <w:tcBorders>
              <w:top w:val="none" w:sz="0" w:space="0" w:color="FFFFFF"/>
              <w:left w:val="none" w:sz="0" w:space="0" w:color="FFFFFF"/>
              <w:bottom w:val="none" w:sz="0" w:space="0" w:color="FFFFFF"/>
              <w:right w:val="none" w:sz="0" w:space="0" w:color="FFFFFF"/>
            </w:tcBorders>
            <w:shd w:val="clear" w:color="auto" w:fill="E8F4FD"/>
            <w:tcMar>
              <w:top w:w="160" w:type="dxa"/>
              <w:left w:w="200" w:type="dxa"/>
              <w:bottom w:w="160" w:type="dxa"/>
              <w:right w:w="200" w:type="dxa"/>
            </w:tcMar>
          </w:tcPr>
          <w:p w14:paraId="4F7C356A" w14:textId="77777777" w:rsidR="001010FF" w:rsidRDefault="006F7657">
            <w:pPr>
              <w:spacing w:after="40"/>
              <w:jc w:val="center"/>
            </w:pPr>
            <w:r>
              <w:rPr>
                <w:b/>
                <w:bCs/>
                <w:color w:val="0D7377"/>
                <w:sz w:val="52"/>
                <w:szCs w:val="52"/>
              </w:rPr>
              <w:t>49.8 min</w:t>
            </w:r>
          </w:p>
          <w:p w14:paraId="6B19F04F" w14:textId="77777777" w:rsidR="001010FF" w:rsidRDefault="006F7657">
            <w:pPr>
              <w:spacing w:after="20"/>
              <w:jc w:val="center"/>
            </w:pPr>
            <w:r>
              <w:rPr>
                <w:b/>
                <w:bCs/>
                <w:color w:val="1B3A6B"/>
                <w:sz w:val="19"/>
                <w:szCs w:val="19"/>
              </w:rPr>
              <w:t>Avg Travel Time</w:t>
            </w:r>
          </w:p>
          <w:p w14:paraId="5D24E781" w14:textId="77777777" w:rsidR="001010FF" w:rsidRDefault="006F7657">
            <w:pPr>
              <w:jc w:val="center"/>
            </w:pPr>
            <w:r>
              <w:rPr>
                <w:color w:val="4A4A6A"/>
                <w:sz w:val="17"/>
                <w:szCs w:val="17"/>
              </w:rPr>
              <w:t>Departure → Arrival</w:t>
            </w:r>
          </w:p>
        </w:tc>
        <w:tc>
          <w:tcPr>
            <w:tcW w:w="2340" w:type="dxa"/>
            <w:tcBorders>
              <w:top w:val="none" w:sz="0" w:space="0" w:color="FFFFFF"/>
              <w:left w:val="none" w:sz="0" w:space="0" w:color="FFFFFF"/>
              <w:bottom w:val="none" w:sz="0" w:space="0" w:color="FFFFFF"/>
              <w:right w:val="none" w:sz="0" w:space="0" w:color="FFFFFF"/>
            </w:tcBorders>
            <w:shd w:val="clear" w:color="auto" w:fill="E8F4FD"/>
            <w:tcMar>
              <w:top w:w="160" w:type="dxa"/>
              <w:left w:w="200" w:type="dxa"/>
              <w:bottom w:w="160" w:type="dxa"/>
              <w:right w:w="200" w:type="dxa"/>
            </w:tcMar>
          </w:tcPr>
          <w:p w14:paraId="6BD233C6" w14:textId="77777777" w:rsidR="001010FF" w:rsidRDefault="006F7657">
            <w:pPr>
              <w:spacing w:after="40"/>
              <w:jc w:val="center"/>
            </w:pPr>
            <w:r>
              <w:rPr>
                <w:b/>
                <w:bCs/>
                <w:color w:val="E67E22"/>
                <w:sz w:val="52"/>
                <w:szCs w:val="52"/>
              </w:rPr>
              <w:t>35.1%</w:t>
            </w:r>
          </w:p>
          <w:p w14:paraId="7A19330E" w14:textId="77777777" w:rsidR="001010FF" w:rsidRDefault="006F7657">
            <w:pPr>
              <w:spacing w:after="20"/>
              <w:jc w:val="center"/>
            </w:pPr>
            <w:r>
              <w:rPr>
                <w:b/>
                <w:bCs/>
                <w:color w:val="1B3A6B"/>
                <w:sz w:val="19"/>
                <w:szCs w:val="19"/>
              </w:rPr>
              <w:t>Emergency Rate</w:t>
            </w:r>
          </w:p>
          <w:p w14:paraId="33C8914E" w14:textId="77777777" w:rsidR="001010FF" w:rsidRDefault="006F7657">
            <w:pPr>
              <w:jc w:val="center"/>
            </w:pPr>
            <w:r>
              <w:rPr>
                <w:color w:val="4A4A6A"/>
                <w:sz w:val="17"/>
                <w:szCs w:val="17"/>
              </w:rPr>
              <w:t>Life-Saving Missions</w:t>
            </w:r>
          </w:p>
        </w:tc>
      </w:tr>
    </w:tbl>
    <w:p w14:paraId="7EE72EB6" w14:textId="77777777" w:rsidR="001010FF" w:rsidRDefault="001010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010FF" w14:paraId="306B3452"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8F4FD"/>
            <w:tcMar>
              <w:top w:w="160" w:type="dxa"/>
              <w:left w:w="200" w:type="dxa"/>
              <w:bottom w:w="160" w:type="dxa"/>
              <w:right w:w="200" w:type="dxa"/>
            </w:tcMar>
          </w:tcPr>
          <w:p w14:paraId="05F7EE63" w14:textId="77777777" w:rsidR="001010FF" w:rsidRDefault="006F7657">
            <w:pPr>
              <w:spacing w:after="40"/>
              <w:jc w:val="center"/>
            </w:pPr>
            <w:r>
              <w:rPr>
                <w:b/>
                <w:bCs/>
                <w:color w:val="1B3A6B"/>
                <w:sz w:val="52"/>
                <w:szCs w:val="52"/>
              </w:rPr>
              <w:t>132.9 min</w:t>
            </w:r>
          </w:p>
          <w:p w14:paraId="1380FF98" w14:textId="77777777" w:rsidR="001010FF" w:rsidRDefault="006F7657">
            <w:pPr>
              <w:spacing w:after="20"/>
              <w:jc w:val="center"/>
            </w:pPr>
            <w:r>
              <w:rPr>
                <w:b/>
                <w:bCs/>
                <w:color w:val="1B3A6B"/>
                <w:sz w:val="19"/>
                <w:szCs w:val="19"/>
              </w:rPr>
              <w:t>Mission Duration</w:t>
            </w:r>
          </w:p>
          <w:p w14:paraId="56DA2377" w14:textId="77777777" w:rsidR="001010FF" w:rsidRDefault="006F7657">
            <w:pPr>
              <w:jc w:val="center"/>
            </w:pPr>
            <w:r>
              <w:rPr>
                <w:color w:val="4A4A6A"/>
                <w:sz w:val="17"/>
                <w:szCs w:val="17"/>
              </w:rPr>
              <w:t>Full Mission Avg</w:t>
            </w:r>
          </w:p>
        </w:tc>
        <w:tc>
          <w:tcPr>
            <w:tcW w:w="2340" w:type="dxa"/>
            <w:tcBorders>
              <w:top w:val="none" w:sz="0" w:space="0" w:color="FFFFFF"/>
              <w:left w:val="none" w:sz="0" w:space="0" w:color="FFFFFF"/>
              <w:bottom w:val="none" w:sz="0" w:space="0" w:color="FFFFFF"/>
              <w:right w:val="none" w:sz="0" w:space="0" w:color="FFFFFF"/>
            </w:tcBorders>
            <w:shd w:val="clear" w:color="auto" w:fill="E8F4FD"/>
            <w:tcMar>
              <w:top w:w="160" w:type="dxa"/>
              <w:left w:w="200" w:type="dxa"/>
              <w:bottom w:w="160" w:type="dxa"/>
              <w:right w:w="200" w:type="dxa"/>
            </w:tcMar>
          </w:tcPr>
          <w:p w14:paraId="098F5D62" w14:textId="77777777" w:rsidR="001010FF" w:rsidRDefault="006F7657">
            <w:pPr>
              <w:spacing w:after="40"/>
              <w:jc w:val="center"/>
            </w:pPr>
            <w:r>
              <w:rPr>
                <w:b/>
                <w:bCs/>
                <w:color w:val="E74C3C"/>
                <w:sz w:val="52"/>
                <w:szCs w:val="52"/>
              </w:rPr>
              <w:t>95.3%</w:t>
            </w:r>
          </w:p>
          <w:p w14:paraId="5BFE2136" w14:textId="77777777" w:rsidR="001010FF" w:rsidRDefault="006F7657">
            <w:pPr>
              <w:spacing w:after="20"/>
              <w:jc w:val="center"/>
            </w:pPr>
            <w:r>
              <w:rPr>
                <w:b/>
                <w:bCs/>
                <w:color w:val="1B3A6B"/>
                <w:sz w:val="19"/>
                <w:szCs w:val="19"/>
              </w:rPr>
              <w:t>Late Performance</w:t>
            </w:r>
          </w:p>
          <w:p w14:paraId="3F4CFFB1" w14:textId="77777777" w:rsidR="001010FF" w:rsidRDefault="006F7657">
            <w:pPr>
              <w:jc w:val="center"/>
            </w:pPr>
            <w:r>
              <w:rPr>
                <w:color w:val="4A4A6A"/>
                <w:sz w:val="17"/>
                <w:szCs w:val="17"/>
              </w:rPr>
              <w:t>Requires Review</w:t>
            </w:r>
          </w:p>
        </w:tc>
        <w:tc>
          <w:tcPr>
            <w:tcW w:w="2340" w:type="dxa"/>
            <w:tcBorders>
              <w:top w:val="none" w:sz="0" w:space="0" w:color="FFFFFF"/>
              <w:left w:val="none" w:sz="0" w:space="0" w:color="FFFFFF"/>
              <w:bottom w:val="none" w:sz="0" w:space="0" w:color="FFFFFF"/>
              <w:right w:val="none" w:sz="0" w:space="0" w:color="FFFFFF"/>
            </w:tcBorders>
            <w:shd w:val="clear" w:color="auto" w:fill="E8F4FD"/>
            <w:tcMar>
              <w:top w:w="160" w:type="dxa"/>
              <w:left w:w="200" w:type="dxa"/>
              <w:bottom w:w="160" w:type="dxa"/>
              <w:right w:w="200" w:type="dxa"/>
            </w:tcMar>
          </w:tcPr>
          <w:p w14:paraId="07F9F26F" w14:textId="77777777" w:rsidR="001010FF" w:rsidRDefault="006F7657">
            <w:pPr>
              <w:spacing w:after="40"/>
              <w:jc w:val="center"/>
            </w:pPr>
            <w:r>
              <w:rPr>
                <w:b/>
                <w:bCs/>
                <w:color w:val="27AE60"/>
                <w:sz w:val="52"/>
                <w:szCs w:val="52"/>
              </w:rPr>
              <w:t>4.7%</w:t>
            </w:r>
          </w:p>
          <w:p w14:paraId="1AD64A98" w14:textId="77777777" w:rsidR="001010FF" w:rsidRDefault="006F7657">
            <w:pPr>
              <w:spacing w:after="20"/>
              <w:jc w:val="center"/>
            </w:pPr>
            <w:r>
              <w:rPr>
                <w:b/>
                <w:bCs/>
                <w:color w:val="1B3A6B"/>
                <w:sz w:val="19"/>
                <w:szCs w:val="19"/>
              </w:rPr>
              <w:t>Good Performance</w:t>
            </w:r>
          </w:p>
          <w:p w14:paraId="29F85A86" w14:textId="77777777" w:rsidR="001010FF" w:rsidRDefault="006F7657">
            <w:pPr>
              <w:jc w:val="center"/>
            </w:pPr>
            <w:r>
              <w:rPr>
                <w:color w:val="4A4A6A"/>
                <w:sz w:val="17"/>
                <w:szCs w:val="17"/>
              </w:rPr>
              <w:t>Within Target</w:t>
            </w:r>
          </w:p>
        </w:tc>
        <w:tc>
          <w:tcPr>
            <w:tcW w:w="2340" w:type="dxa"/>
            <w:tcBorders>
              <w:top w:val="none" w:sz="0" w:space="0" w:color="FFFFFF"/>
              <w:left w:val="none" w:sz="0" w:space="0" w:color="FFFFFF"/>
              <w:bottom w:val="none" w:sz="0" w:space="0" w:color="FFFFFF"/>
              <w:right w:val="none" w:sz="0" w:space="0" w:color="FFFFFF"/>
            </w:tcBorders>
            <w:shd w:val="clear" w:color="auto" w:fill="E8F4FD"/>
            <w:tcMar>
              <w:top w:w="160" w:type="dxa"/>
              <w:left w:w="200" w:type="dxa"/>
              <w:bottom w:w="160" w:type="dxa"/>
              <w:right w:w="200" w:type="dxa"/>
            </w:tcMar>
          </w:tcPr>
          <w:p w14:paraId="37B58E16" w14:textId="77777777" w:rsidR="001010FF" w:rsidRDefault="006F7657">
            <w:pPr>
              <w:spacing w:after="40"/>
              <w:jc w:val="center"/>
            </w:pPr>
            <w:r>
              <w:rPr>
                <w:b/>
                <w:bCs/>
                <w:color w:val="E74C3C"/>
                <w:sz w:val="52"/>
                <w:szCs w:val="52"/>
              </w:rPr>
              <w:t>0%</w:t>
            </w:r>
          </w:p>
          <w:p w14:paraId="4B18BFCD" w14:textId="77777777" w:rsidR="001010FF" w:rsidRDefault="006F7657">
            <w:pPr>
              <w:spacing w:after="20"/>
              <w:jc w:val="center"/>
            </w:pPr>
            <w:r>
              <w:rPr>
                <w:b/>
                <w:bCs/>
                <w:color w:val="1B3A6B"/>
                <w:sz w:val="19"/>
                <w:szCs w:val="19"/>
              </w:rPr>
              <w:t>Excellent Rate</w:t>
            </w:r>
          </w:p>
          <w:p w14:paraId="0F830533" w14:textId="77777777" w:rsidR="001010FF" w:rsidRDefault="006F7657">
            <w:pPr>
              <w:jc w:val="center"/>
            </w:pPr>
            <w:r>
              <w:rPr>
                <w:color w:val="4A4A6A"/>
                <w:sz w:val="17"/>
                <w:szCs w:val="17"/>
              </w:rPr>
              <w:t>Benchmark Gap</w:t>
            </w:r>
          </w:p>
        </w:tc>
      </w:tr>
    </w:tbl>
    <w:p w14:paraId="1BC2E982" w14:textId="77777777" w:rsidR="001010FF" w:rsidRDefault="001010FF">
      <w:pPr>
        <w:spacing w:before="80" w:after="80"/>
      </w:pPr>
    </w:p>
    <w:p w14:paraId="1F84F127" w14:textId="77777777" w:rsidR="001010FF" w:rsidRDefault="006F7657">
      <w:r>
        <w:lastRenderedPageBreak/>
        <w:br w:type="page"/>
      </w:r>
    </w:p>
    <w:p w14:paraId="4A241F3D" w14:textId="77777777" w:rsidR="001010FF" w:rsidRDefault="006F7657">
      <w:pPr>
        <w:pBdr>
          <w:left w:val="single" w:sz="24" w:space="0" w:color="E67E22"/>
        </w:pBdr>
        <w:shd w:val="clear" w:color="auto" w:fill="0D7377"/>
        <w:spacing w:before="320" w:after="120"/>
      </w:pPr>
      <w:r>
        <w:rPr>
          <w:sz w:val="24"/>
          <w:szCs w:val="24"/>
        </w:rPr>
        <w:lastRenderedPageBreak/>
        <w:t xml:space="preserve">  </w:t>
      </w:r>
      <w:r>
        <w:rPr>
          <w:b/>
          <w:bCs/>
          <w:color w:val="FFFFFF"/>
          <w:sz w:val="24"/>
          <w:szCs w:val="24"/>
        </w:rPr>
        <w:t xml:space="preserve">  OPERATIONAL FINDINGS &amp; ANALYSIS</w:t>
      </w:r>
    </w:p>
    <w:p w14:paraId="66CF383B" w14:textId="77777777" w:rsidR="001010FF" w:rsidRDefault="001010FF">
      <w:pPr>
        <w:spacing w:before="80" w:after="80"/>
      </w:pPr>
    </w:p>
    <w:p w14:paraId="36AD1DCE" w14:textId="77777777" w:rsidR="001010FF" w:rsidRDefault="006F7657">
      <w:pPr>
        <w:pBdr>
          <w:bottom w:val="single" w:sz="4" w:space="0" w:color="0D7377"/>
        </w:pBdr>
        <w:spacing w:before="200" w:after="80"/>
      </w:pPr>
      <w:r>
        <w:rPr>
          <w:b/>
          <w:bCs/>
          <w:color w:val="1B3A6B"/>
          <w:sz w:val="22"/>
          <w:szCs w:val="22"/>
        </w:rPr>
        <w:t>1. Performance Classification Concerns</w:t>
      </w:r>
    </w:p>
    <w:p w14:paraId="2A5D30AB" w14:textId="77777777" w:rsidR="001010FF" w:rsidRDefault="006F7657">
      <w:pPr>
        <w:spacing w:before="60" w:after="60"/>
      </w:pPr>
      <w:r>
        <w:rPr>
          <w:color w:val="4A4A6A"/>
        </w:rPr>
        <w:t>The current performance rating system classifies 95.3% of all 14,169 missions as 'Late' with zero missions achieving 'Excellent' status. This pattern is consistent across all 20 centers, strongly suggesting that performance thresholds require recalibration to reflect realistic operational benchmarks within the medical transport context.</w:t>
      </w:r>
    </w:p>
    <w:p w14:paraId="5420D8E0" w14:textId="77777777" w:rsidR="001010FF" w:rsidRDefault="001010FF">
      <w:pPr>
        <w:spacing w:before="80" w:after="80"/>
      </w:pPr>
    </w:p>
    <w:p w14:paraId="0B2CF187" w14:textId="77777777" w:rsidR="001010FF" w:rsidRDefault="006F7657">
      <w:pPr>
        <w:pBdr>
          <w:bottom w:val="single" w:sz="4" w:space="0" w:color="0D7377"/>
        </w:pBdr>
        <w:spacing w:before="200" w:after="80"/>
      </w:pPr>
      <w:r>
        <w:rPr>
          <w:b/>
          <w:bCs/>
          <w:color w:val="1B3A6B"/>
          <w:sz w:val="22"/>
          <w:szCs w:val="22"/>
        </w:rPr>
        <w:t>2. Mission Volume Distribution</w:t>
      </w:r>
    </w:p>
    <w:p w14:paraId="563A8DF3" w14:textId="77777777" w:rsidR="001010FF" w:rsidRDefault="006F7657">
      <w:pPr>
        <w:spacing w:before="60" w:after="60"/>
      </w:pPr>
      <w:r>
        <w:rPr>
          <w:color w:val="4A4A6A"/>
        </w:rPr>
        <w:t>Transfer volumes are unevenly distributed across centers. Centers C1 and C2 each handle approximately 1,434–1,438 missions annually, while C20 handles only 323 missions. This imbalance may indicate capacity underutilization at smaller centers or geographic demand variance requiring investigation.</w:t>
      </w:r>
    </w:p>
    <w:p w14:paraId="1F648F2D" w14:textId="77777777" w:rsidR="001010FF" w:rsidRDefault="001010FF">
      <w:pPr>
        <w:spacing w:before="80" w:after="80"/>
      </w:pPr>
    </w:p>
    <w:p w14:paraId="6FD57A66" w14:textId="77777777" w:rsidR="001010FF" w:rsidRDefault="006F7657">
      <w:pPr>
        <w:pBdr>
          <w:bottom w:val="single" w:sz="4" w:space="0" w:color="0D7377"/>
        </w:pBdr>
        <w:spacing w:before="200" w:after="80"/>
      </w:pPr>
      <w:r>
        <w:rPr>
          <w:b/>
          <w:bCs/>
          <w:color w:val="1B3A6B"/>
          <w:sz w:val="22"/>
          <w:szCs w:val="22"/>
        </w:rPr>
        <w:t>3. Referral Reason Breakdown</w:t>
      </w:r>
    </w:p>
    <w:p w14:paraId="6BC59F13" w14:textId="77777777" w:rsidR="001010FF" w:rsidRDefault="006F7657">
      <w:pPr>
        <w:spacing w:before="60" w:after="60"/>
      </w:pPr>
      <w:r>
        <w:rPr>
          <w:color w:val="4A4A6A"/>
        </w:rPr>
        <w:t>Three primary referral reasons drive all transport missions in near-equal proportion: Specialty Shortage (4,802 cases / 33.9%), Equipment Shortage (4,715 cases / 33.3%), and Cath Lab transfers (4,652 cases / 32.8%). This near-equal distribution suggests systemic gaps in local capacity across all three domains.</w:t>
      </w:r>
    </w:p>
    <w:p w14:paraId="17749E35" w14:textId="77777777" w:rsidR="001010FF" w:rsidRDefault="001010FF">
      <w:pPr>
        <w:spacing w:before="80" w:after="80"/>
      </w:pPr>
    </w:p>
    <w:p w14:paraId="6FE605EE" w14:textId="77777777" w:rsidR="001010FF" w:rsidRDefault="006F7657">
      <w:pPr>
        <w:pBdr>
          <w:bottom w:val="single" w:sz="4" w:space="0" w:color="0D7377"/>
        </w:pBdr>
        <w:spacing w:before="200" w:after="80"/>
      </w:pPr>
      <w:r>
        <w:rPr>
          <w:b/>
          <w:bCs/>
          <w:color w:val="1B3A6B"/>
          <w:sz w:val="22"/>
          <w:szCs w:val="22"/>
        </w:rPr>
        <w:t>4. Shift &amp; Temporal Patterns</w:t>
      </w:r>
    </w:p>
    <w:p w14:paraId="667E81E1" w14:textId="77777777" w:rsidR="001010FF" w:rsidRDefault="006F7657">
      <w:pPr>
        <w:spacing w:before="60" w:after="60"/>
      </w:pPr>
      <w:r>
        <w:rPr>
          <w:color w:val="4A4A6A"/>
        </w:rPr>
        <w:t>Morning shift carries a significantly higher load, accounting for 60.1% of all transfers (8,517 missions) compared to Evening shift at 39.9% (5,652 missions). Transfer volume is relatively stable across all weekdays (1,996–2,044 per day) with no significant weekend effect observed.</w:t>
      </w:r>
    </w:p>
    <w:p w14:paraId="1E498FD9" w14:textId="77777777" w:rsidR="001010FF" w:rsidRDefault="001010FF">
      <w:pPr>
        <w:spacing w:before="80" w:after="80"/>
      </w:pPr>
    </w:p>
    <w:p w14:paraId="07203C05" w14:textId="77777777" w:rsidR="001010FF" w:rsidRDefault="006F7657">
      <w:pPr>
        <w:pBdr>
          <w:bottom w:val="single" w:sz="4" w:space="0" w:color="0D7377"/>
        </w:pBdr>
        <w:spacing w:before="200" w:after="80"/>
      </w:pPr>
      <w:r>
        <w:rPr>
          <w:b/>
          <w:bCs/>
          <w:color w:val="1B3A6B"/>
          <w:sz w:val="22"/>
          <w:szCs w:val="22"/>
        </w:rPr>
        <w:t>5. Hospital Concentration Risk</w:t>
      </w:r>
    </w:p>
    <w:p w14:paraId="7AAB4A87" w14:textId="77777777" w:rsidR="001010FF" w:rsidRDefault="006F7657">
      <w:pPr>
        <w:spacing w:before="60" w:after="60"/>
      </w:pPr>
      <w:r>
        <w:rPr>
          <w:color w:val="4A4A6A"/>
        </w:rPr>
        <w:t>Hospital H1 receives 72.1% of all transfers (8,715 cases), creating a significant concentration risk. H2 receives 15%, H3 8.8%, and H4 only 4.1%. This uneven distribution warrants analysis of whether it reflects genuine patient routing needs or systemic referral patterns that could be rebalanced.</w:t>
      </w:r>
    </w:p>
    <w:p w14:paraId="18571E86" w14:textId="77777777" w:rsidR="001010FF" w:rsidRDefault="001010FF">
      <w:pPr>
        <w:spacing w:before="80" w:after="80"/>
      </w:pPr>
    </w:p>
    <w:p w14:paraId="613AA95C" w14:textId="77777777" w:rsidR="001010FF" w:rsidRDefault="006F7657">
      <w:r>
        <w:br w:type="page"/>
      </w:r>
    </w:p>
    <w:p w14:paraId="22800E7B" w14:textId="77777777" w:rsidR="001010FF" w:rsidRDefault="006F7657">
      <w:pPr>
        <w:pBdr>
          <w:left w:val="single" w:sz="24" w:space="0" w:color="E67E22"/>
        </w:pBdr>
        <w:shd w:val="clear" w:color="auto" w:fill="0D7377"/>
        <w:spacing w:before="320" w:after="120"/>
      </w:pPr>
      <w:r>
        <w:rPr>
          <w:sz w:val="24"/>
          <w:szCs w:val="24"/>
        </w:rPr>
        <w:lastRenderedPageBreak/>
        <w:t xml:space="preserve">  </w:t>
      </w:r>
      <w:r>
        <w:rPr>
          <w:b/>
          <w:bCs/>
          <w:color w:val="FFFFFF"/>
          <w:sz w:val="24"/>
          <w:szCs w:val="24"/>
        </w:rPr>
        <w:t xml:space="preserve">  CENTER PERFORMANCE COMPARISON</w:t>
      </w:r>
    </w:p>
    <w:p w14:paraId="25B85948" w14:textId="77777777" w:rsidR="001010FF" w:rsidRDefault="001010FF">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900"/>
        <w:gridCol w:w="1900"/>
        <w:gridCol w:w="1600"/>
        <w:gridCol w:w="1680"/>
      </w:tblGrid>
      <w:tr w:rsidR="001010FF" w14:paraId="09F1FFC9" w14:textId="77777777">
        <w:tblPrEx>
          <w:tblCellMar>
            <w:top w:w="0" w:type="dxa"/>
            <w:bottom w:w="0" w:type="dxa"/>
          </w:tblCellMar>
        </w:tblPrEx>
        <w:trPr>
          <w:tblHeader/>
        </w:trPr>
        <w:tc>
          <w:tcPr>
            <w:tcW w:w="140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2C45D568" w14:textId="77777777" w:rsidR="001010FF" w:rsidRDefault="006F7657">
            <w:pPr>
              <w:jc w:val="center"/>
            </w:pPr>
            <w:r>
              <w:rPr>
                <w:b/>
                <w:bCs/>
                <w:color w:val="FFFFFF"/>
                <w:sz w:val="18"/>
                <w:szCs w:val="18"/>
              </w:rPr>
              <w:t>Center</w:t>
            </w:r>
          </w:p>
        </w:tc>
        <w:tc>
          <w:tcPr>
            <w:tcW w:w="160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0E18BDBE" w14:textId="77777777" w:rsidR="001010FF" w:rsidRDefault="006F7657">
            <w:pPr>
              <w:jc w:val="center"/>
            </w:pPr>
            <w:r>
              <w:rPr>
                <w:b/>
                <w:bCs/>
                <w:color w:val="FFFFFF"/>
                <w:sz w:val="18"/>
                <w:szCs w:val="18"/>
              </w:rPr>
              <w:t>Total Transfers</w:t>
            </w:r>
          </w:p>
        </w:tc>
        <w:tc>
          <w:tcPr>
            <w:tcW w:w="190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6633D606" w14:textId="77777777" w:rsidR="001010FF" w:rsidRDefault="006F7657">
            <w:pPr>
              <w:jc w:val="center"/>
            </w:pPr>
            <w:r>
              <w:rPr>
                <w:b/>
                <w:bCs/>
                <w:color w:val="FFFFFF"/>
                <w:sz w:val="18"/>
                <w:szCs w:val="18"/>
              </w:rPr>
              <w:t>Avg Response (min)</w:t>
            </w:r>
          </w:p>
        </w:tc>
        <w:tc>
          <w:tcPr>
            <w:tcW w:w="190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6DA68044" w14:textId="77777777" w:rsidR="001010FF" w:rsidRDefault="006F7657">
            <w:pPr>
              <w:jc w:val="center"/>
            </w:pPr>
            <w:r>
              <w:rPr>
                <w:b/>
                <w:bCs/>
                <w:color w:val="FFFFFF"/>
                <w:sz w:val="18"/>
                <w:szCs w:val="18"/>
              </w:rPr>
              <w:t>Avg Dispatch (min)</w:t>
            </w:r>
          </w:p>
        </w:tc>
        <w:tc>
          <w:tcPr>
            <w:tcW w:w="160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2793939C" w14:textId="77777777" w:rsidR="001010FF" w:rsidRDefault="006F7657">
            <w:pPr>
              <w:jc w:val="center"/>
            </w:pPr>
            <w:r>
              <w:rPr>
                <w:b/>
                <w:bCs/>
                <w:color w:val="FFFFFF"/>
                <w:sz w:val="18"/>
                <w:szCs w:val="18"/>
              </w:rPr>
              <w:t>Late Rate</w:t>
            </w:r>
          </w:p>
        </w:tc>
        <w:tc>
          <w:tcPr>
            <w:tcW w:w="168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63929885" w14:textId="77777777" w:rsidR="001010FF" w:rsidRDefault="006F7657">
            <w:pPr>
              <w:jc w:val="center"/>
            </w:pPr>
            <w:r>
              <w:rPr>
                <w:b/>
                <w:bCs/>
                <w:color w:val="FFFFFF"/>
                <w:sz w:val="18"/>
                <w:szCs w:val="18"/>
              </w:rPr>
              <w:t>Rank</w:t>
            </w:r>
          </w:p>
        </w:tc>
      </w:tr>
      <w:tr w:rsidR="001010FF" w14:paraId="5D882812" w14:textId="77777777">
        <w:tblPrEx>
          <w:tblCellMar>
            <w:top w:w="0" w:type="dxa"/>
            <w:bottom w:w="0" w:type="dxa"/>
          </w:tblCellMar>
        </w:tblPrEx>
        <w:tc>
          <w:tcPr>
            <w:tcW w:w="14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23EE70DA" w14:textId="77777777" w:rsidR="001010FF" w:rsidRDefault="006F7657">
            <w:pPr>
              <w:jc w:val="center"/>
            </w:pPr>
            <w:r>
              <w:rPr>
                <w:b/>
                <w:bCs/>
                <w:color w:val="1B3A6B"/>
              </w:rPr>
              <w:t>C1</w:t>
            </w:r>
          </w:p>
        </w:tc>
        <w:tc>
          <w:tcPr>
            <w:tcW w:w="16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0D6C22D5" w14:textId="77777777" w:rsidR="001010FF" w:rsidRDefault="006F7657">
            <w:pPr>
              <w:jc w:val="center"/>
            </w:pPr>
            <w:r>
              <w:t>1,438</w:t>
            </w:r>
          </w:p>
        </w:tc>
        <w:tc>
          <w:tcPr>
            <w:tcW w:w="19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0880EB5F" w14:textId="77777777" w:rsidR="001010FF" w:rsidRDefault="006F7657">
            <w:pPr>
              <w:jc w:val="center"/>
            </w:pPr>
            <w:r>
              <w:t>14.7</w:t>
            </w:r>
          </w:p>
        </w:tc>
        <w:tc>
          <w:tcPr>
            <w:tcW w:w="19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54D25282" w14:textId="77777777" w:rsidR="001010FF" w:rsidRDefault="006F7657">
            <w:pPr>
              <w:jc w:val="center"/>
            </w:pPr>
            <w:r>
              <w:t>5.5</w:t>
            </w:r>
          </w:p>
        </w:tc>
        <w:tc>
          <w:tcPr>
            <w:tcW w:w="16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23B42B81" w14:textId="77777777" w:rsidR="001010FF" w:rsidRDefault="006F7657">
            <w:pPr>
              <w:jc w:val="center"/>
            </w:pPr>
            <w:r>
              <w:rPr>
                <w:color w:val="E67E22"/>
              </w:rPr>
              <w:t>94.5%</w:t>
            </w:r>
          </w:p>
        </w:tc>
        <w:tc>
          <w:tcPr>
            <w:tcW w:w="168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51F5CB61" w14:textId="77777777" w:rsidR="001010FF" w:rsidRDefault="006F7657">
            <w:pPr>
              <w:jc w:val="center"/>
            </w:pPr>
            <w:r>
              <w:rPr>
                <w:b/>
                <w:bCs/>
                <w:color w:val="27AE60"/>
              </w:rPr>
              <w:t>#1</w:t>
            </w:r>
          </w:p>
        </w:tc>
      </w:tr>
      <w:tr w:rsidR="001010FF" w14:paraId="3B853A5C" w14:textId="77777777">
        <w:tblPrEx>
          <w:tblCellMar>
            <w:top w:w="0" w:type="dxa"/>
            <w:bottom w:w="0" w:type="dxa"/>
          </w:tblCellMar>
        </w:tblPrEx>
        <w:tc>
          <w:tcPr>
            <w:tcW w:w="14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4B762097" w14:textId="77777777" w:rsidR="001010FF" w:rsidRDefault="006F7657">
            <w:pPr>
              <w:jc w:val="center"/>
            </w:pPr>
            <w:r>
              <w:rPr>
                <w:b/>
                <w:bCs/>
                <w:color w:val="1B3A6B"/>
              </w:rPr>
              <w:t>C2</w:t>
            </w:r>
          </w:p>
        </w:tc>
        <w:tc>
          <w:tcPr>
            <w:tcW w:w="16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0DCD29D5" w14:textId="77777777" w:rsidR="001010FF" w:rsidRDefault="006F7657">
            <w:pPr>
              <w:jc w:val="center"/>
            </w:pPr>
            <w:r>
              <w:t>1,434</w:t>
            </w:r>
          </w:p>
        </w:tc>
        <w:tc>
          <w:tcPr>
            <w:tcW w:w="19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12CA9637" w14:textId="77777777" w:rsidR="001010FF" w:rsidRDefault="006F7657">
            <w:pPr>
              <w:jc w:val="center"/>
            </w:pPr>
            <w:r>
              <w:t>14.6</w:t>
            </w:r>
          </w:p>
        </w:tc>
        <w:tc>
          <w:tcPr>
            <w:tcW w:w="19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00F17A8D" w14:textId="77777777" w:rsidR="001010FF" w:rsidRDefault="006F7657">
            <w:pPr>
              <w:jc w:val="center"/>
            </w:pPr>
            <w:r>
              <w:t>5.6</w:t>
            </w:r>
          </w:p>
        </w:tc>
        <w:tc>
          <w:tcPr>
            <w:tcW w:w="16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4AF71A09" w14:textId="77777777" w:rsidR="001010FF" w:rsidRDefault="006F7657">
            <w:pPr>
              <w:jc w:val="center"/>
            </w:pPr>
            <w:r>
              <w:rPr>
                <w:color w:val="E67E22"/>
              </w:rPr>
              <w:t>94.7%</w:t>
            </w:r>
          </w:p>
        </w:tc>
        <w:tc>
          <w:tcPr>
            <w:tcW w:w="168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04AEA88F" w14:textId="77777777" w:rsidR="001010FF" w:rsidRDefault="006F7657">
            <w:pPr>
              <w:jc w:val="center"/>
            </w:pPr>
            <w:r>
              <w:rPr>
                <w:b/>
                <w:bCs/>
                <w:color w:val="27AE60"/>
              </w:rPr>
              <w:t>#2</w:t>
            </w:r>
          </w:p>
        </w:tc>
      </w:tr>
      <w:tr w:rsidR="001010FF" w14:paraId="3B97CDFF" w14:textId="77777777">
        <w:tblPrEx>
          <w:tblCellMar>
            <w:top w:w="0" w:type="dxa"/>
            <w:bottom w:w="0" w:type="dxa"/>
          </w:tblCellMar>
        </w:tblPrEx>
        <w:tc>
          <w:tcPr>
            <w:tcW w:w="14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011CAF0C" w14:textId="77777777" w:rsidR="001010FF" w:rsidRDefault="006F7657">
            <w:pPr>
              <w:jc w:val="center"/>
            </w:pPr>
            <w:r>
              <w:rPr>
                <w:b/>
                <w:bCs/>
                <w:color w:val="1B3A6B"/>
              </w:rPr>
              <w:t>C3</w:t>
            </w:r>
          </w:p>
        </w:tc>
        <w:tc>
          <w:tcPr>
            <w:tcW w:w="16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447407BF" w14:textId="77777777" w:rsidR="001010FF" w:rsidRDefault="006F7657">
            <w:pPr>
              <w:jc w:val="center"/>
            </w:pPr>
            <w:r>
              <w:t>1,273</w:t>
            </w:r>
          </w:p>
        </w:tc>
        <w:tc>
          <w:tcPr>
            <w:tcW w:w="19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325A008E" w14:textId="77777777" w:rsidR="001010FF" w:rsidRDefault="006F7657">
            <w:pPr>
              <w:jc w:val="center"/>
            </w:pPr>
            <w:r>
              <w:t>14.5</w:t>
            </w:r>
          </w:p>
        </w:tc>
        <w:tc>
          <w:tcPr>
            <w:tcW w:w="19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41D4288B" w14:textId="77777777" w:rsidR="001010FF" w:rsidRDefault="006F7657">
            <w:pPr>
              <w:jc w:val="center"/>
            </w:pPr>
            <w:r>
              <w:t>5.5</w:t>
            </w:r>
          </w:p>
        </w:tc>
        <w:tc>
          <w:tcPr>
            <w:tcW w:w="16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032437FD" w14:textId="77777777" w:rsidR="001010FF" w:rsidRDefault="006F7657">
            <w:pPr>
              <w:jc w:val="center"/>
            </w:pPr>
            <w:r>
              <w:rPr>
                <w:color w:val="E67E22"/>
              </w:rPr>
              <w:t>95.1%</w:t>
            </w:r>
          </w:p>
        </w:tc>
        <w:tc>
          <w:tcPr>
            <w:tcW w:w="168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1F849012" w14:textId="77777777" w:rsidR="001010FF" w:rsidRDefault="006F7657">
            <w:pPr>
              <w:jc w:val="center"/>
            </w:pPr>
            <w:r>
              <w:rPr>
                <w:b/>
                <w:bCs/>
                <w:color w:val="27AE60"/>
              </w:rPr>
              <w:t>#3</w:t>
            </w:r>
          </w:p>
        </w:tc>
      </w:tr>
      <w:tr w:rsidR="001010FF" w14:paraId="2207EE8C" w14:textId="77777777">
        <w:tblPrEx>
          <w:tblCellMar>
            <w:top w:w="0" w:type="dxa"/>
            <w:bottom w:w="0" w:type="dxa"/>
          </w:tblCellMar>
        </w:tblPrEx>
        <w:tc>
          <w:tcPr>
            <w:tcW w:w="14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49C676BE" w14:textId="77777777" w:rsidR="001010FF" w:rsidRDefault="006F7657">
            <w:pPr>
              <w:jc w:val="center"/>
            </w:pPr>
            <w:r>
              <w:rPr>
                <w:b/>
                <w:bCs/>
                <w:color w:val="1B3A6B"/>
              </w:rPr>
              <w:t>C4</w:t>
            </w:r>
          </w:p>
        </w:tc>
        <w:tc>
          <w:tcPr>
            <w:tcW w:w="16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5DC63F52" w14:textId="77777777" w:rsidR="001010FF" w:rsidRDefault="006F7657">
            <w:pPr>
              <w:jc w:val="center"/>
            </w:pPr>
            <w:r>
              <w:t>1,109</w:t>
            </w:r>
          </w:p>
        </w:tc>
        <w:tc>
          <w:tcPr>
            <w:tcW w:w="19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19782700" w14:textId="77777777" w:rsidR="001010FF" w:rsidRDefault="006F7657">
            <w:pPr>
              <w:jc w:val="center"/>
            </w:pPr>
            <w:r>
              <w:t>14.3</w:t>
            </w:r>
          </w:p>
        </w:tc>
        <w:tc>
          <w:tcPr>
            <w:tcW w:w="19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317CE84B" w14:textId="77777777" w:rsidR="001010FF" w:rsidRDefault="006F7657">
            <w:pPr>
              <w:jc w:val="center"/>
            </w:pPr>
            <w:r>
              <w:t>5.4</w:t>
            </w:r>
          </w:p>
        </w:tc>
        <w:tc>
          <w:tcPr>
            <w:tcW w:w="16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1FE84F0E" w14:textId="77777777" w:rsidR="001010FF" w:rsidRDefault="006F7657">
            <w:pPr>
              <w:jc w:val="center"/>
            </w:pPr>
            <w:r>
              <w:rPr>
                <w:color w:val="E67E22"/>
              </w:rPr>
              <w:t>95.2%</w:t>
            </w:r>
          </w:p>
        </w:tc>
        <w:tc>
          <w:tcPr>
            <w:tcW w:w="168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2E2D7C57" w14:textId="77777777" w:rsidR="001010FF" w:rsidRDefault="006F7657">
            <w:pPr>
              <w:jc w:val="center"/>
            </w:pPr>
            <w:r>
              <w:rPr>
                <w:color w:val="4A4A6A"/>
              </w:rPr>
              <w:t>#4</w:t>
            </w:r>
          </w:p>
        </w:tc>
      </w:tr>
      <w:tr w:rsidR="001010FF" w14:paraId="0DBEE4C2" w14:textId="77777777">
        <w:tblPrEx>
          <w:tblCellMar>
            <w:top w:w="0" w:type="dxa"/>
            <w:bottom w:w="0" w:type="dxa"/>
          </w:tblCellMar>
        </w:tblPrEx>
        <w:tc>
          <w:tcPr>
            <w:tcW w:w="14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25573BA4" w14:textId="77777777" w:rsidR="001010FF" w:rsidRDefault="006F7657">
            <w:pPr>
              <w:jc w:val="center"/>
            </w:pPr>
            <w:r>
              <w:rPr>
                <w:b/>
                <w:bCs/>
                <w:color w:val="1B3A6B"/>
              </w:rPr>
              <w:t>C5</w:t>
            </w:r>
          </w:p>
        </w:tc>
        <w:tc>
          <w:tcPr>
            <w:tcW w:w="16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1E97C0B2" w14:textId="77777777" w:rsidR="001010FF" w:rsidRDefault="006F7657">
            <w:pPr>
              <w:jc w:val="center"/>
            </w:pPr>
            <w:r>
              <w:t>1,095</w:t>
            </w:r>
          </w:p>
        </w:tc>
        <w:tc>
          <w:tcPr>
            <w:tcW w:w="19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3EC83665" w14:textId="77777777" w:rsidR="001010FF" w:rsidRDefault="006F7657">
            <w:pPr>
              <w:jc w:val="center"/>
            </w:pPr>
            <w:r>
              <w:t>14.4</w:t>
            </w:r>
          </w:p>
        </w:tc>
        <w:tc>
          <w:tcPr>
            <w:tcW w:w="19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21DB9058" w14:textId="77777777" w:rsidR="001010FF" w:rsidRDefault="006F7657">
            <w:pPr>
              <w:jc w:val="center"/>
            </w:pPr>
            <w:r>
              <w:t>5.5</w:t>
            </w:r>
          </w:p>
        </w:tc>
        <w:tc>
          <w:tcPr>
            <w:tcW w:w="16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7F3D36AA" w14:textId="77777777" w:rsidR="001010FF" w:rsidRDefault="006F7657">
            <w:pPr>
              <w:jc w:val="center"/>
            </w:pPr>
            <w:r>
              <w:rPr>
                <w:color w:val="E67E22"/>
              </w:rPr>
              <w:t>94.6%</w:t>
            </w:r>
          </w:p>
        </w:tc>
        <w:tc>
          <w:tcPr>
            <w:tcW w:w="168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6A670886" w14:textId="77777777" w:rsidR="001010FF" w:rsidRDefault="006F7657">
            <w:pPr>
              <w:jc w:val="center"/>
            </w:pPr>
            <w:r>
              <w:rPr>
                <w:color w:val="4A4A6A"/>
              </w:rPr>
              <w:t>#5</w:t>
            </w:r>
          </w:p>
        </w:tc>
      </w:tr>
      <w:tr w:rsidR="001010FF" w14:paraId="2A8E0014" w14:textId="77777777">
        <w:tblPrEx>
          <w:tblCellMar>
            <w:top w:w="0" w:type="dxa"/>
            <w:bottom w:w="0" w:type="dxa"/>
          </w:tblCellMar>
        </w:tblPrEx>
        <w:tc>
          <w:tcPr>
            <w:tcW w:w="14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6F5AA56A" w14:textId="77777777" w:rsidR="001010FF" w:rsidRDefault="006F7657">
            <w:pPr>
              <w:jc w:val="center"/>
            </w:pPr>
            <w:r>
              <w:rPr>
                <w:b/>
                <w:bCs/>
                <w:color w:val="1B3A6B"/>
              </w:rPr>
              <w:t>C6</w:t>
            </w:r>
          </w:p>
        </w:tc>
        <w:tc>
          <w:tcPr>
            <w:tcW w:w="16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0388C388" w14:textId="77777777" w:rsidR="001010FF" w:rsidRDefault="006F7657">
            <w:pPr>
              <w:jc w:val="center"/>
            </w:pPr>
            <w:r>
              <w:t>742</w:t>
            </w:r>
          </w:p>
        </w:tc>
        <w:tc>
          <w:tcPr>
            <w:tcW w:w="19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30C1DACD" w14:textId="77777777" w:rsidR="001010FF" w:rsidRDefault="006F7657">
            <w:pPr>
              <w:jc w:val="center"/>
            </w:pPr>
            <w:r>
              <w:t>14.4</w:t>
            </w:r>
          </w:p>
        </w:tc>
        <w:tc>
          <w:tcPr>
            <w:tcW w:w="19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17F3AC43" w14:textId="77777777" w:rsidR="001010FF" w:rsidRDefault="006F7657">
            <w:pPr>
              <w:jc w:val="center"/>
            </w:pPr>
            <w:r>
              <w:t>5.4</w:t>
            </w:r>
          </w:p>
        </w:tc>
        <w:tc>
          <w:tcPr>
            <w:tcW w:w="16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7A244C3F" w14:textId="77777777" w:rsidR="001010FF" w:rsidRDefault="006F7657">
            <w:pPr>
              <w:jc w:val="center"/>
            </w:pPr>
            <w:r>
              <w:rPr>
                <w:color w:val="E74C3C"/>
              </w:rPr>
              <w:t>96.4%</w:t>
            </w:r>
          </w:p>
        </w:tc>
        <w:tc>
          <w:tcPr>
            <w:tcW w:w="168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5D8DF8C8" w14:textId="77777777" w:rsidR="001010FF" w:rsidRDefault="006F7657">
            <w:pPr>
              <w:jc w:val="center"/>
            </w:pPr>
            <w:r>
              <w:rPr>
                <w:color w:val="4A4A6A"/>
              </w:rPr>
              <w:t>#6</w:t>
            </w:r>
          </w:p>
        </w:tc>
      </w:tr>
      <w:tr w:rsidR="001010FF" w14:paraId="195A8E92" w14:textId="77777777">
        <w:tblPrEx>
          <w:tblCellMar>
            <w:top w:w="0" w:type="dxa"/>
            <w:bottom w:w="0" w:type="dxa"/>
          </w:tblCellMar>
        </w:tblPrEx>
        <w:tc>
          <w:tcPr>
            <w:tcW w:w="14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24A5B691" w14:textId="77777777" w:rsidR="001010FF" w:rsidRDefault="006F7657">
            <w:pPr>
              <w:jc w:val="center"/>
            </w:pPr>
            <w:r>
              <w:rPr>
                <w:b/>
                <w:bCs/>
                <w:color w:val="1B3A6B"/>
              </w:rPr>
              <w:t>C7</w:t>
            </w:r>
          </w:p>
        </w:tc>
        <w:tc>
          <w:tcPr>
            <w:tcW w:w="16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04598E1B" w14:textId="77777777" w:rsidR="001010FF" w:rsidRDefault="006F7657">
            <w:pPr>
              <w:jc w:val="center"/>
            </w:pPr>
            <w:r>
              <w:t>695</w:t>
            </w:r>
          </w:p>
        </w:tc>
        <w:tc>
          <w:tcPr>
            <w:tcW w:w="19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7AAD4279" w14:textId="77777777" w:rsidR="001010FF" w:rsidRDefault="006F7657">
            <w:pPr>
              <w:jc w:val="center"/>
            </w:pPr>
            <w:r>
              <w:t>14.3</w:t>
            </w:r>
          </w:p>
        </w:tc>
        <w:tc>
          <w:tcPr>
            <w:tcW w:w="19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63DC23A6" w14:textId="77777777" w:rsidR="001010FF" w:rsidRDefault="006F7657">
            <w:pPr>
              <w:jc w:val="center"/>
            </w:pPr>
            <w:r>
              <w:t>5.5</w:t>
            </w:r>
          </w:p>
        </w:tc>
        <w:tc>
          <w:tcPr>
            <w:tcW w:w="16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0F5095B6" w14:textId="77777777" w:rsidR="001010FF" w:rsidRDefault="006F7657">
            <w:pPr>
              <w:jc w:val="center"/>
            </w:pPr>
            <w:r>
              <w:rPr>
                <w:color w:val="E67E22"/>
              </w:rPr>
              <w:t>95.3%</w:t>
            </w:r>
          </w:p>
        </w:tc>
        <w:tc>
          <w:tcPr>
            <w:tcW w:w="168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218C2B01" w14:textId="77777777" w:rsidR="001010FF" w:rsidRDefault="006F7657">
            <w:pPr>
              <w:jc w:val="center"/>
            </w:pPr>
            <w:r>
              <w:rPr>
                <w:color w:val="4A4A6A"/>
              </w:rPr>
              <w:t>#7</w:t>
            </w:r>
          </w:p>
        </w:tc>
      </w:tr>
      <w:tr w:rsidR="001010FF" w14:paraId="2A2EBDA3" w14:textId="77777777">
        <w:tblPrEx>
          <w:tblCellMar>
            <w:top w:w="0" w:type="dxa"/>
            <w:bottom w:w="0" w:type="dxa"/>
          </w:tblCellMar>
        </w:tblPrEx>
        <w:tc>
          <w:tcPr>
            <w:tcW w:w="14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421C3C46" w14:textId="77777777" w:rsidR="001010FF" w:rsidRDefault="006F7657">
            <w:pPr>
              <w:jc w:val="center"/>
            </w:pPr>
            <w:r>
              <w:rPr>
                <w:b/>
                <w:bCs/>
                <w:color w:val="1B3A6B"/>
              </w:rPr>
              <w:t>C8</w:t>
            </w:r>
          </w:p>
        </w:tc>
        <w:tc>
          <w:tcPr>
            <w:tcW w:w="16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50411CF9" w14:textId="77777777" w:rsidR="001010FF" w:rsidRDefault="006F7657">
            <w:pPr>
              <w:jc w:val="center"/>
            </w:pPr>
            <w:r>
              <w:t>742</w:t>
            </w:r>
          </w:p>
        </w:tc>
        <w:tc>
          <w:tcPr>
            <w:tcW w:w="19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6D016A99" w14:textId="77777777" w:rsidR="001010FF" w:rsidRDefault="006F7657">
            <w:pPr>
              <w:jc w:val="center"/>
            </w:pPr>
            <w:r>
              <w:t>14.6</w:t>
            </w:r>
          </w:p>
        </w:tc>
        <w:tc>
          <w:tcPr>
            <w:tcW w:w="19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6A63703B" w14:textId="77777777" w:rsidR="001010FF" w:rsidRDefault="006F7657">
            <w:pPr>
              <w:jc w:val="center"/>
            </w:pPr>
            <w:r>
              <w:t>5.6</w:t>
            </w:r>
          </w:p>
        </w:tc>
        <w:tc>
          <w:tcPr>
            <w:tcW w:w="16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03D582FF" w14:textId="77777777" w:rsidR="001010FF" w:rsidRDefault="006F7657">
            <w:pPr>
              <w:jc w:val="center"/>
            </w:pPr>
            <w:r>
              <w:rPr>
                <w:color w:val="E67E22"/>
              </w:rPr>
              <w:t>95.3%</w:t>
            </w:r>
          </w:p>
        </w:tc>
        <w:tc>
          <w:tcPr>
            <w:tcW w:w="168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310F11E8" w14:textId="77777777" w:rsidR="001010FF" w:rsidRDefault="006F7657">
            <w:pPr>
              <w:jc w:val="center"/>
            </w:pPr>
            <w:r>
              <w:rPr>
                <w:color w:val="4A4A6A"/>
              </w:rPr>
              <w:t>#8</w:t>
            </w:r>
          </w:p>
        </w:tc>
      </w:tr>
      <w:tr w:rsidR="001010FF" w14:paraId="7FEFD1C9" w14:textId="77777777">
        <w:tblPrEx>
          <w:tblCellMar>
            <w:top w:w="0" w:type="dxa"/>
            <w:bottom w:w="0" w:type="dxa"/>
          </w:tblCellMar>
        </w:tblPrEx>
        <w:tc>
          <w:tcPr>
            <w:tcW w:w="14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5E2DCD36" w14:textId="77777777" w:rsidR="001010FF" w:rsidRDefault="006F7657">
            <w:pPr>
              <w:jc w:val="center"/>
            </w:pPr>
            <w:r>
              <w:rPr>
                <w:b/>
                <w:bCs/>
                <w:color w:val="1B3A6B"/>
              </w:rPr>
              <w:t>C9</w:t>
            </w:r>
          </w:p>
        </w:tc>
        <w:tc>
          <w:tcPr>
            <w:tcW w:w="16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1E2676E6" w14:textId="77777777" w:rsidR="001010FF" w:rsidRDefault="006F7657">
            <w:pPr>
              <w:jc w:val="center"/>
            </w:pPr>
            <w:r>
              <w:t>715</w:t>
            </w:r>
          </w:p>
        </w:tc>
        <w:tc>
          <w:tcPr>
            <w:tcW w:w="19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44AC06B5" w14:textId="77777777" w:rsidR="001010FF" w:rsidRDefault="006F7657">
            <w:pPr>
              <w:jc w:val="center"/>
            </w:pPr>
            <w:r>
              <w:t>14.5</w:t>
            </w:r>
          </w:p>
        </w:tc>
        <w:tc>
          <w:tcPr>
            <w:tcW w:w="19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168A2D97" w14:textId="77777777" w:rsidR="001010FF" w:rsidRDefault="006F7657">
            <w:pPr>
              <w:jc w:val="center"/>
            </w:pPr>
            <w:r>
              <w:t>5.4</w:t>
            </w:r>
          </w:p>
        </w:tc>
        <w:tc>
          <w:tcPr>
            <w:tcW w:w="160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4E03B98B" w14:textId="77777777" w:rsidR="001010FF" w:rsidRDefault="006F7657">
            <w:pPr>
              <w:jc w:val="center"/>
            </w:pPr>
            <w:r>
              <w:rPr>
                <w:color w:val="E74C3C"/>
              </w:rPr>
              <w:t>96.1%</w:t>
            </w:r>
          </w:p>
        </w:tc>
        <w:tc>
          <w:tcPr>
            <w:tcW w:w="168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7FF1F278" w14:textId="77777777" w:rsidR="001010FF" w:rsidRDefault="006F7657">
            <w:pPr>
              <w:jc w:val="center"/>
            </w:pPr>
            <w:r>
              <w:rPr>
                <w:color w:val="4A4A6A"/>
              </w:rPr>
              <w:t>#9</w:t>
            </w:r>
          </w:p>
        </w:tc>
      </w:tr>
      <w:tr w:rsidR="001010FF" w14:paraId="7194E3A6" w14:textId="77777777">
        <w:tblPrEx>
          <w:tblCellMar>
            <w:top w:w="0" w:type="dxa"/>
            <w:bottom w:w="0" w:type="dxa"/>
          </w:tblCellMar>
        </w:tblPrEx>
        <w:tc>
          <w:tcPr>
            <w:tcW w:w="14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2E501750" w14:textId="77777777" w:rsidR="001010FF" w:rsidRDefault="006F7657">
            <w:pPr>
              <w:jc w:val="center"/>
            </w:pPr>
            <w:r>
              <w:rPr>
                <w:b/>
                <w:bCs/>
                <w:color w:val="1B3A6B"/>
              </w:rPr>
              <w:t>C10</w:t>
            </w:r>
          </w:p>
        </w:tc>
        <w:tc>
          <w:tcPr>
            <w:tcW w:w="16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519B2550" w14:textId="77777777" w:rsidR="001010FF" w:rsidRDefault="006F7657">
            <w:pPr>
              <w:jc w:val="center"/>
            </w:pPr>
            <w:r>
              <w:t>555</w:t>
            </w:r>
          </w:p>
        </w:tc>
        <w:tc>
          <w:tcPr>
            <w:tcW w:w="19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47F35251" w14:textId="77777777" w:rsidR="001010FF" w:rsidRDefault="006F7657">
            <w:pPr>
              <w:jc w:val="center"/>
            </w:pPr>
            <w:r>
              <w:t>14.4</w:t>
            </w:r>
          </w:p>
        </w:tc>
        <w:tc>
          <w:tcPr>
            <w:tcW w:w="19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5CA9C89D" w14:textId="77777777" w:rsidR="001010FF" w:rsidRDefault="006F7657">
            <w:pPr>
              <w:jc w:val="center"/>
            </w:pPr>
            <w:r>
              <w:t>5.5</w:t>
            </w:r>
          </w:p>
        </w:tc>
        <w:tc>
          <w:tcPr>
            <w:tcW w:w="160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78820B0B" w14:textId="77777777" w:rsidR="001010FF" w:rsidRDefault="006F7657">
            <w:pPr>
              <w:jc w:val="center"/>
            </w:pPr>
            <w:r>
              <w:rPr>
                <w:color w:val="E67E22"/>
              </w:rPr>
              <w:t>95.5%</w:t>
            </w:r>
          </w:p>
        </w:tc>
        <w:tc>
          <w:tcPr>
            <w:tcW w:w="168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2FEEA74C" w14:textId="77777777" w:rsidR="001010FF" w:rsidRDefault="006F7657">
            <w:pPr>
              <w:jc w:val="center"/>
            </w:pPr>
            <w:r>
              <w:rPr>
                <w:color w:val="4A4A6A"/>
              </w:rPr>
              <w:t>#10</w:t>
            </w:r>
          </w:p>
        </w:tc>
      </w:tr>
    </w:tbl>
    <w:p w14:paraId="77EE5DB9" w14:textId="77777777" w:rsidR="001010FF" w:rsidRDefault="001010FF">
      <w:pPr>
        <w:spacing w:before="80" w:after="80"/>
      </w:pPr>
    </w:p>
    <w:p w14:paraId="0E8E7D51" w14:textId="77777777" w:rsidR="001010FF" w:rsidRDefault="006F7657">
      <w:pPr>
        <w:spacing w:before="60" w:after="60"/>
      </w:pPr>
      <w:r>
        <w:rPr>
          <w:color w:val="4A4A6A"/>
        </w:rPr>
        <w:t>Note: Centers C1–C3 lead in total volume. All centers show comparable response and dispatch times, indicating systemic rather than center-specific performance issues.</w:t>
      </w:r>
    </w:p>
    <w:p w14:paraId="0B6A50B0" w14:textId="77777777" w:rsidR="001010FF" w:rsidRDefault="001010FF">
      <w:pPr>
        <w:spacing w:before="80" w:after="80"/>
      </w:pPr>
    </w:p>
    <w:p w14:paraId="08A635A0" w14:textId="77777777" w:rsidR="001010FF" w:rsidRDefault="006F7657">
      <w:r>
        <w:br w:type="page"/>
      </w:r>
    </w:p>
    <w:p w14:paraId="6B63EBC0" w14:textId="77777777" w:rsidR="001010FF" w:rsidRDefault="006F7657">
      <w:pPr>
        <w:pBdr>
          <w:left w:val="single" w:sz="24" w:space="0" w:color="E67E22"/>
        </w:pBdr>
        <w:shd w:val="clear" w:color="auto" w:fill="0D7377"/>
        <w:spacing w:before="320" w:after="120"/>
      </w:pPr>
      <w:r>
        <w:rPr>
          <w:sz w:val="24"/>
          <w:szCs w:val="24"/>
        </w:rPr>
        <w:lastRenderedPageBreak/>
        <w:t xml:space="preserve">  </w:t>
      </w:r>
      <w:r>
        <w:rPr>
          <w:b/>
          <w:bCs/>
          <w:color w:val="FFFFFF"/>
          <w:sz w:val="24"/>
          <w:szCs w:val="24"/>
        </w:rPr>
        <w:t xml:space="preserve">  MONTHLY TRANSFER VOLUME TREND</w:t>
      </w:r>
    </w:p>
    <w:p w14:paraId="73582087" w14:textId="77777777" w:rsidR="001010FF" w:rsidRDefault="001010FF">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840"/>
        <w:gridCol w:w="840"/>
        <w:gridCol w:w="840"/>
        <w:gridCol w:w="840"/>
        <w:gridCol w:w="840"/>
        <w:gridCol w:w="840"/>
        <w:gridCol w:w="840"/>
        <w:gridCol w:w="840"/>
        <w:gridCol w:w="840"/>
        <w:gridCol w:w="840"/>
        <w:gridCol w:w="840"/>
      </w:tblGrid>
      <w:tr w:rsidR="001010FF" w14:paraId="048A1500" w14:textId="77777777">
        <w:tblPrEx>
          <w:tblCellMar>
            <w:top w:w="0" w:type="dxa"/>
            <w:bottom w:w="0" w:type="dxa"/>
          </w:tblCellMar>
        </w:tblPrEx>
        <w:trPr>
          <w:tblHeader/>
        </w:trPr>
        <w:tc>
          <w:tcPr>
            <w:tcW w:w="84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16E4DDF2" w14:textId="77777777" w:rsidR="001010FF" w:rsidRDefault="006F7657">
            <w:pPr>
              <w:jc w:val="center"/>
            </w:pPr>
            <w:r>
              <w:rPr>
                <w:b/>
                <w:bCs/>
                <w:color w:val="FFFFFF"/>
                <w:sz w:val="18"/>
                <w:szCs w:val="18"/>
              </w:rPr>
              <w:t>Jan</w:t>
            </w:r>
          </w:p>
        </w:tc>
        <w:tc>
          <w:tcPr>
            <w:tcW w:w="84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65234CFA" w14:textId="77777777" w:rsidR="001010FF" w:rsidRDefault="006F7657">
            <w:pPr>
              <w:jc w:val="center"/>
            </w:pPr>
            <w:r>
              <w:rPr>
                <w:b/>
                <w:bCs/>
                <w:color w:val="FFFFFF"/>
                <w:sz w:val="18"/>
                <w:szCs w:val="18"/>
              </w:rPr>
              <w:t>Feb</w:t>
            </w:r>
          </w:p>
        </w:tc>
        <w:tc>
          <w:tcPr>
            <w:tcW w:w="84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164CF847" w14:textId="77777777" w:rsidR="001010FF" w:rsidRDefault="006F7657">
            <w:pPr>
              <w:jc w:val="center"/>
            </w:pPr>
            <w:r>
              <w:rPr>
                <w:b/>
                <w:bCs/>
                <w:color w:val="FFFFFF"/>
                <w:sz w:val="18"/>
                <w:szCs w:val="18"/>
              </w:rPr>
              <w:t>Mar</w:t>
            </w:r>
          </w:p>
        </w:tc>
        <w:tc>
          <w:tcPr>
            <w:tcW w:w="84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21DD6D06" w14:textId="77777777" w:rsidR="001010FF" w:rsidRDefault="006F7657">
            <w:pPr>
              <w:jc w:val="center"/>
            </w:pPr>
            <w:r>
              <w:rPr>
                <w:b/>
                <w:bCs/>
                <w:color w:val="FFFFFF"/>
                <w:sz w:val="18"/>
                <w:szCs w:val="18"/>
              </w:rPr>
              <w:t>Apr</w:t>
            </w:r>
          </w:p>
        </w:tc>
        <w:tc>
          <w:tcPr>
            <w:tcW w:w="84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46AC3F9E" w14:textId="77777777" w:rsidR="001010FF" w:rsidRDefault="006F7657">
            <w:pPr>
              <w:jc w:val="center"/>
            </w:pPr>
            <w:r>
              <w:rPr>
                <w:b/>
                <w:bCs/>
                <w:color w:val="FFFFFF"/>
                <w:sz w:val="18"/>
                <w:szCs w:val="18"/>
              </w:rPr>
              <w:t>May</w:t>
            </w:r>
          </w:p>
        </w:tc>
        <w:tc>
          <w:tcPr>
            <w:tcW w:w="84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59117254" w14:textId="77777777" w:rsidR="001010FF" w:rsidRDefault="006F7657">
            <w:pPr>
              <w:jc w:val="center"/>
            </w:pPr>
            <w:r>
              <w:rPr>
                <w:b/>
                <w:bCs/>
                <w:color w:val="FFFFFF"/>
                <w:sz w:val="18"/>
                <w:szCs w:val="18"/>
              </w:rPr>
              <w:t>Jun</w:t>
            </w:r>
          </w:p>
        </w:tc>
        <w:tc>
          <w:tcPr>
            <w:tcW w:w="84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0D5BE9DE" w14:textId="77777777" w:rsidR="001010FF" w:rsidRDefault="006F7657">
            <w:pPr>
              <w:jc w:val="center"/>
            </w:pPr>
            <w:r>
              <w:rPr>
                <w:b/>
                <w:bCs/>
                <w:color w:val="FFFFFF"/>
                <w:sz w:val="18"/>
                <w:szCs w:val="18"/>
              </w:rPr>
              <w:t>Jul</w:t>
            </w:r>
          </w:p>
        </w:tc>
        <w:tc>
          <w:tcPr>
            <w:tcW w:w="84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1A27ABF6" w14:textId="77777777" w:rsidR="001010FF" w:rsidRDefault="006F7657">
            <w:pPr>
              <w:jc w:val="center"/>
            </w:pPr>
            <w:r>
              <w:rPr>
                <w:b/>
                <w:bCs/>
                <w:color w:val="FFFFFF"/>
                <w:sz w:val="18"/>
                <w:szCs w:val="18"/>
              </w:rPr>
              <w:t>Aug</w:t>
            </w:r>
          </w:p>
        </w:tc>
        <w:tc>
          <w:tcPr>
            <w:tcW w:w="84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7EFCCCB0" w14:textId="77777777" w:rsidR="001010FF" w:rsidRDefault="006F7657">
            <w:pPr>
              <w:jc w:val="center"/>
            </w:pPr>
            <w:r>
              <w:rPr>
                <w:b/>
                <w:bCs/>
                <w:color w:val="FFFFFF"/>
                <w:sz w:val="18"/>
                <w:szCs w:val="18"/>
              </w:rPr>
              <w:t>Sep</w:t>
            </w:r>
          </w:p>
        </w:tc>
        <w:tc>
          <w:tcPr>
            <w:tcW w:w="84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4345715A" w14:textId="77777777" w:rsidR="001010FF" w:rsidRDefault="006F7657">
            <w:pPr>
              <w:jc w:val="center"/>
            </w:pPr>
            <w:r>
              <w:rPr>
                <w:b/>
                <w:bCs/>
                <w:color w:val="FFFFFF"/>
                <w:sz w:val="18"/>
                <w:szCs w:val="18"/>
              </w:rPr>
              <w:t>Oct</w:t>
            </w:r>
          </w:p>
        </w:tc>
        <w:tc>
          <w:tcPr>
            <w:tcW w:w="84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5A1A5572" w14:textId="77777777" w:rsidR="001010FF" w:rsidRDefault="006F7657">
            <w:pPr>
              <w:jc w:val="center"/>
            </w:pPr>
            <w:r>
              <w:rPr>
                <w:b/>
                <w:bCs/>
                <w:color w:val="FFFFFF"/>
                <w:sz w:val="18"/>
                <w:szCs w:val="18"/>
              </w:rPr>
              <w:t>Nov</w:t>
            </w:r>
          </w:p>
        </w:tc>
        <w:tc>
          <w:tcPr>
            <w:tcW w:w="84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3F4CE8C1" w14:textId="77777777" w:rsidR="001010FF" w:rsidRDefault="006F7657">
            <w:pPr>
              <w:jc w:val="center"/>
            </w:pPr>
            <w:r>
              <w:rPr>
                <w:b/>
                <w:bCs/>
                <w:color w:val="FFFFFF"/>
                <w:sz w:val="18"/>
                <w:szCs w:val="18"/>
              </w:rPr>
              <w:t>Dec</w:t>
            </w:r>
          </w:p>
        </w:tc>
      </w:tr>
      <w:tr w:rsidR="001010FF" w14:paraId="30C64A5F" w14:textId="77777777">
        <w:tblPrEx>
          <w:tblCellMar>
            <w:top w:w="0" w:type="dxa"/>
            <w:bottom w:w="0" w:type="dxa"/>
          </w:tblCellMar>
        </w:tblPrEx>
        <w:tc>
          <w:tcPr>
            <w:tcW w:w="84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40544F28" w14:textId="77777777" w:rsidR="001010FF" w:rsidRDefault="006F7657">
            <w:pPr>
              <w:jc w:val="center"/>
            </w:pPr>
            <w:r>
              <w:rPr>
                <w:color w:val="1B3A6B"/>
              </w:rPr>
              <w:t>1,227</w:t>
            </w:r>
          </w:p>
        </w:tc>
        <w:tc>
          <w:tcPr>
            <w:tcW w:w="84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7D6D872C" w14:textId="77777777" w:rsidR="001010FF" w:rsidRDefault="006F7657">
            <w:pPr>
              <w:jc w:val="center"/>
            </w:pPr>
            <w:r>
              <w:rPr>
                <w:color w:val="1B3A6B"/>
              </w:rPr>
              <w:t>1,087</w:t>
            </w:r>
          </w:p>
        </w:tc>
        <w:tc>
          <w:tcPr>
            <w:tcW w:w="84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6DE7946C" w14:textId="77777777" w:rsidR="001010FF" w:rsidRDefault="006F7657">
            <w:pPr>
              <w:jc w:val="center"/>
            </w:pPr>
            <w:r>
              <w:rPr>
                <w:color w:val="1B3A6B"/>
              </w:rPr>
              <w:t>1,207</w:t>
            </w:r>
          </w:p>
        </w:tc>
        <w:tc>
          <w:tcPr>
            <w:tcW w:w="84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6835F3BC" w14:textId="77777777" w:rsidR="001010FF" w:rsidRDefault="006F7657">
            <w:pPr>
              <w:jc w:val="center"/>
            </w:pPr>
            <w:r>
              <w:rPr>
                <w:color w:val="1B3A6B"/>
              </w:rPr>
              <w:t>1,157</w:t>
            </w:r>
          </w:p>
        </w:tc>
        <w:tc>
          <w:tcPr>
            <w:tcW w:w="84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78D460EA" w14:textId="77777777" w:rsidR="001010FF" w:rsidRDefault="006F7657">
            <w:pPr>
              <w:jc w:val="center"/>
            </w:pPr>
            <w:r>
              <w:rPr>
                <w:color w:val="1B3A6B"/>
              </w:rPr>
              <w:t>1,202</w:t>
            </w:r>
          </w:p>
        </w:tc>
        <w:tc>
          <w:tcPr>
            <w:tcW w:w="84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0696E740" w14:textId="77777777" w:rsidR="001010FF" w:rsidRDefault="006F7657">
            <w:pPr>
              <w:jc w:val="center"/>
            </w:pPr>
            <w:r>
              <w:rPr>
                <w:color w:val="1B3A6B"/>
              </w:rPr>
              <w:t>1,167</w:t>
            </w:r>
          </w:p>
        </w:tc>
        <w:tc>
          <w:tcPr>
            <w:tcW w:w="84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663227A3" w14:textId="77777777" w:rsidR="001010FF" w:rsidRDefault="006F7657">
            <w:pPr>
              <w:jc w:val="center"/>
            </w:pPr>
            <w:r>
              <w:rPr>
                <w:color w:val="1B3A6B"/>
              </w:rPr>
              <w:t>1,191</w:t>
            </w:r>
          </w:p>
        </w:tc>
        <w:tc>
          <w:tcPr>
            <w:tcW w:w="84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2D278A8F" w14:textId="77777777" w:rsidR="001010FF" w:rsidRDefault="006F7657">
            <w:pPr>
              <w:jc w:val="center"/>
            </w:pPr>
            <w:r>
              <w:rPr>
                <w:color w:val="1B3A6B"/>
              </w:rPr>
              <w:t>1,189</w:t>
            </w:r>
          </w:p>
        </w:tc>
        <w:tc>
          <w:tcPr>
            <w:tcW w:w="84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60FB4A77" w14:textId="77777777" w:rsidR="001010FF" w:rsidRDefault="006F7657">
            <w:pPr>
              <w:jc w:val="center"/>
            </w:pPr>
            <w:r>
              <w:rPr>
                <w:color w:val="1B3A6B"/>
              </w:rPr>
              <w:t>1,157</w:t>
            </w:r>
          </w:p>
        </w:tc>
        <w:tc>
          <w:tcPr>
            <w:tcW w:w="84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2364B21D" w14:textId="77777777" w:rsidR="001010FF" w:rsidRDefault="006F7657">
            <w:pPr>
              <w:jc w:val="center"/>
            </w:pPr>
            <w:r>
              <w:rPr>
                <w:color w:val="1B3A6B"/>
              </w:rPr>
              <w:t>1,209</w:t>
            </w:r>
          </w:p>
        </w:tc>
        <w:tc>
          <w:tcPr>
            <w:tcW w:w="84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6911D82D" w14:textId="77777777" w:rsidR="001010FF" w:rsidRDefault="006F7657">
            <w:pPr>
              <w:jc w:val="center"/>
            </w:pPr>
            <w:r>
              <w:rPr>
                <w:color w:val="1B3A6B"/>
              </w:rPr>
              <w:t>1,185</w:t>
            </w:r>
          </w:p>
        </w:tc>
        <w:tc>
          <w:tcPr>
            <w:tcW w:w="84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6C9F27C9" w14:textId="77777777" w:rsidR="001010FF" w:rsidRDefault="006F7657">
            <w:pPr>
              <w:jc w:val="center"/>
            </w:pPr>
            <w:r>
              <w:rPr>
                <w:color w:val="1B3A6B"/>
              </w:rPr>
              <w:t>1,191</w:t>
            </w:r>
          </w:p>
        </w:tc>
      </w:tr>
    </w:tbl>
    <w:p w14:paraId="421FFE32" w14:textId="77777777" w:rsidR="001010FF" w:rsidRDefault="001010FF">
      <w:pPr>
        <w:spacing w:before="80" w:after="80"/>
      </w:pPr>
    </w:p>
    <w:p w14:paraId="60679C47" w14:textId="77777777" w:rsidR="001010FF" w:rsidRDefault="006F7657">
      <w:pPr>
        <w:spacing w:before="60" w:after="60"/>
      </w:pPr>
      <w:r>
        <w:rPr>
          <w:color w:val="4A4A6A"/>
        </w:rPr>
        <w:t>Peak month: January (1,227 transfers). Lowest: February (1,087 transfers). Monthly variance is minimal (±12%)</w:t>
      </w:r>
      <w:proofErr w:type="gramStart"/>
      <w:r>
        <w:rPr>
          <w:color w:val="4A4A6A"/>
        </w:rPr>
        <w:t xml:space="preserve"> indicating</w:t>
      </w:r>
      <w:proofErr w:type="gramEnd"/>
      <w:r>
        <w:rPr>
          <w:color w:val="4A4A6A"/>
        </w:rPr>
        <w:t xml:space="preserve"> stable and predictable demand throughout the year.</w:t>
      </w:r>
    </w:p>
    <w:p w14:paraId="01E34104" w14:textId="77777777" w:rsidR="001010FF" w:rsidRDefault="001010FF">
      <w:pPr>
        <w:spacing w:before="80" w:after="80"/>
      </w:pPr>
    </w:p>
    <w:p w14:paraId="0641D52D" w14:textId="77777777" w:rsidR="001010FF" w:rsidRDefault="006F7657">
      <w:pPr>
        <w:pBdr>
          <w:bottom w:val="single" w:sz="4" w:space="0" w:color="0D7377"/>
        </w:pBdr>
        <w:spacing w:before="200" w:after="80"/>
      </w:pPr>
      <w:r>
        <w:rPr>
          <w:b/>
          <w:bCs/>
          <w:color w:val="1B3A6B"/>
          <w:sz w:val="22"/>
          <w:szCs w:val="22"/>
        </w:rPr>
        <w:t>Top Medical Departments by Transfer Volume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010FF" w14:paraId="4AA28E02" w14:textId="77777777">
        <w:tblPrEx>
          <w:tblCellMar>
            <w:top w:w="0" w:type="dxa"/>
            <w:bottom w:w="0" w:type="dxa"/>
          </w:tblCellMar>
        </w:tblPrEx>
        <w:trPr>
          <w:tblHeader/>
        </w:trPr>
        <w:tc>
          <w:tcPr>
            <w:tcW w:w="336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269BE4F6" w14:textId="77777777" w:rsidR="001010FF" w:rsidRDefault="006F7657">
            <w:pPr>
              <w:jc w:val="center"/>
            </w:pPr>
            <w:r>
              <w:rPr>
                <w:b/>
                <w:bCs/>
                <w:color w:val="FFFFFF"/>
                <w:sz w:val="18"/>
                <w:szCs w:val="18"/>
              </w:rPr>
              <w:t>Department</w:t>
            </w:r>
          </w:p>
        </w:tc>
        <w:tc>
          <w:tcPr>
            <w:tcW w:w="336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45AB7205" w14:textId="77777777" w:rsidR="001010FF" w:rsidRDefault="006F7657">
            <w:pPr>
              <w:jc w:val="center"/>
            </w:pPr>
            <w:r>
              <w:rPr>
                <w:b/>
                <w:bCs/>
                <w:color w:val="FFFFFF"/>
                <w:sz w:val="18"/>
                <w:szCs w:val="18"/>
              </w:rPr>
              <w:t>Total Cases</w:t>
            </w:r>
          </w:p>
        </w:tc>
        <w:tc>
          <w:tcPr>
            <w:tcW w:w="3360" w:type="dxa"/>
            <w:tcBorders>
              <w:top w:val="single" w:sz="1" w:space="0" w:color="D0D7E5"/>
              <w:left w:val="single" w:sz="1" w:space="0" w:color="D0D7E5"/>
              <w:bottom w:val="single" w:sz="1" w:space="0" w:color="D0D7E5"/>
              <w:right w:val="single" w:sz="1" w:space="0" w:color="D0D7E5"/>
            </w:tcBorders>
            <w:shd w:val="clear" w:color="auto" w:fill="1B3A6B"/>
            <w:tcMar>
              <w:top w:w="100" w:type="dxa"/>
              <w:left w:w="150" w:type="dxa"/>
              <w:bottom w:w="100" w:type="dxa"/>
              <w:right w:w="150" w:type="dxa"/>
            </w:tcMar>
            <w:vAlign w:val="center"/>
          </w:tcPr>
          <w:p w14:paraId="5D421167" w14:textId="77777777" w:rsidR="001010FF" w:rsidRDefault="006F7657">
            <w:pPr>
              <w:jc w:val="center"/>
            </w:pPr>
            <w:r>
              <w:rPr>
                <w:b/>
                <w:bCs/>
                <w:color w:val="FFFFFF"/>
                <w:sz w:val="18"/>
                <w:szCs w:val="18"/>
              </w:rPr>
              <w:t>Network Share</w:t>
            </w:r>
          </w:p>
        </w:tc>
      </w:tr>
      <w:tr w:rsidR="001010FF" w14:paraId="3AF618A1" w14:textId="77777777">
        <w:tblPrEx>
          <w:tblCellMar>
            <w:top w:w="0" w:type="dxa"/>
            <w:bottom w:w="0" w:type="dxa"/>
          </w:tblCellMar>
        </w:tblPrEx>
        <w:tc>
          <w:tcPr>
            <w:tcW w:w="336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592ECAA7" w14:textId="77777777" w:rsidR="001010FF" w:rsidRDefault="006F7657">
            <w:r>
              <w:rPr>
                <w:b/>
                <w:bCs/>
                <w:color w:val="1B3A6B"/>
              </w:rPr>
              <w:t>Cardiac</w:t>
            </w:r>
          </w:p>
        </w:tc>
        <w:tc>
          <w:tcPr>
            <w:tcW w:w="336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73214008" w14:textId="77777777" w:rsidR="001010FF" w:rsidRDefault="006F7657">
            <w:pPr>
              <w:jc w:val="center"/>
            </w:pPr>
            <w:r>
              <w:t>1,464</w:t>
            </w:r>
          </w:p>
        </w:tc>
        <w:tc>
          <w:tcPr>
            <w:tcW w:w="336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5DA26B2A" w14:textId="77777777" w:rsidR="001010FF" w:rsidRDefault="006F7657">
            <w:pPr>
              <w:jc w:val="center"/>
            </w:pPr>
            <w:r>
              <w:rPr>
                <w:color w:val="0D7377"/>
              </w:rPr>
              <w:t>10.3%</w:t>
            </w:r>
          </w:p>
        </w:tc>
      </w:tr>
      <w:tr w:rsidR="001010FF" w14:paraId="3E9A3937" w14:textId="77777777">
        <w:tblPrEx>
          <w:tblCellMar>
            <w:top w:w="0" w:type="dxa"/>
            <w:bottom w:w="0" w:type="dxa"/>
          </w:tblCellMar>
        </w:tblPrEx>
        <w:tc>
          <w:tcPr>
            <w:tcW w:w="336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0E1BA152" w14:textId="77777777" w:rsidR="001010FF" w:rsidRDefault="006F7657">
            <w:r>
              <w:rPr>
                <w:b/>
                <w:bCs/>
                <w:color w:val="1B3A6B"/>
              </w:rPr>
              <w:t>Ortho</w:t>
            </w:r>
          </w:p>
        </w:tc>
        <w:tc>
          <w:tcPr>
            <w:tcW w:w="336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55088F8B" w14:textId="77777777" w:rsidR="001010FF" w:rsidRDefault="006F7657">
            <w:pPr>
              <w:jc w:val="center"/>
            </w:pPr>
            <w:r>
              <w:t>1,454</w:t>
            </w:r>
          </w:p>
        </w:tc>
        <w:tc>
          <w:tcPr>
            <w:tcW w:w="336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4477AFA5" w14:textId="77777777" w:rsidR="001010FF" w:rsidRDefault="006F7657">
            <w:pPr>
              <w:jc w:val="center"/>
            </w:pPr>
            <w:r>
              <w:rPr>
                <w:color w:val="0D7377"/>
              </w:rPr>
              <w:t>10.3%</w:t>
            </w:r>
          </w:p>
        </w:tc>
      </w:tr>
      <w:tr w:rsidR="001010FF" w14:paraId="1D5764C1" w14:textId="77777777">
        <w:tblPrEx>
          <w:tblCellMar>
            <w:top w:w="0" w:type="dxa"/>
            <w:bottom w:w="0" w:type="dxa"/>
          </w:tblCellMar>
        </w:tblPrEx>
        <w:tc>
          <w:tcPr>
            <w:tcW w:w="336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3D91B884" w14:textId="77777777" w:rsidR="001010FF" w:rsidRDefault="006F7657">
            <w:r>
              <w:rPr>
                <w:b/>
                <w:bCs/>
                <w:color w:val="1B3A6B"/>
              </w:rPr>
              <w:t>Oncology</w:t>
            </w:r>
          </w:p>
        </w:tc>
        <w:tc>
          <w:tcPr>
            <w:tcW w:w="336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1A606903" w14:textId="77777777" w:rsidR="001010FF" w:rsidRDefault="006F7657">
            <w:pPr>
              <w:jc w:val="center"/>
            </w:pPr>
            <w:r>
              <w:t>1,448</w:t>
            </w:r>
          </w:p>
        </w:tc>
        <w:tc>
          <w:tcPr>
            <w:tcW w:w="336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7FA94F62" w14:textId="77777777" w:rsidR="001010FF" w:rsidRDefault="006F7657">
            <w:pPr>
              <w:jc w:val="center"/>
            </w:pPr>
            <w:r>
              <w:rPr>
                <w:color w:val="0D7377"/>
              </w:rPr>
              <w:t>10.2%</w:t>
            </w:r>
          </w:p>
        </w:tc>
      </w:tr>
      <w:tr w:rsidR="001010FF" w14:paraId="7DCF0AAC" w14:textId="77777777">
        <w:tblPrEx>
          <w:tblCellMar>
            <w:top w:w="0" w:type="dxa"/>
            <w:bottom w:w="0" w:type="dxa"/>
          </w:tblCellMar>
        </w:tblPrEx>
        <w:tc>
          <w:tcPr>
            <w:tcW w:w="336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3CC10739" w14:textId="77777777" w:rsidR="001010FF" w:rsidRDefault="006F7657">
            <w:r>
              <w:rPr>
                <w:b/>
                <w:bCs/>
                <w:color w:val="1B3A6B"/>
              </w:rPr>
              <w:t>General</w:t>
            </w:r>
          </w:p>
        </w:tc>
        <w:tc>
          <w:tcPr>
            <w:tcW w:w="336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543ED7A5" w14:textId="77777777" w:rsidR="001010FF" w:rsidRDefault="006F7657">
            <w:pPr>
              <w:jc w:val="center"/>
            </w:pPr>
            <w:r>
              <w:t>1,434</w:t>
            </w:r>
          </w:p>
        </w:tc>
        <w:tc>
          <w:tcPr>
            <w:tcW w:w="3360" w:type="dxa"/>
            <w:tcBorders>
              <w:top w:val="single" w:sz="1" w:space="0" w:color="D0D7E5"/>
              <w:left w:val="single" w:sz="1" w:space="0" w:color="D0D7E5"/>
              <w:bottom w:val="single" w:sz="1" w:space="0" w:color="D0D7E5"/>
              <w:right w:val="single" w:sz="1" w:space="0" w:color="D0D7E5"/>
            </w:tcBorders>
            <w:shd w:val="clear" w:color="auto" w:fill="FFFFFF"/>
            <w:tcMar>
              <w:top w:w="100" w:type="dxa"/>
              <w:left w:w="150" w:type="dxa"/>
              <w:bottom w:w="100" w:type="dxa"/>
              <w:right w:w="150" w:type="dxa"/>
            </w:tcMar>
            <w:vAlign w:val="center"/>
          </w:tcPr>
          <w:p w14:paraId="09E3A8CA" w14:textId="77777777" w:rsidR="001010FF" w:rsidRDefault="006F7657">
            <w:pPr>
              <w:jc w:val="center"/>
            </w:pPr>
            <w:r>
              <w:rPr>
                <w:color w:val="0D7377"/>
              </w:rPr>
              <w:t>10.1%</w:t>
            </w:r>
          </w:p>
        </w:tc>
      </w:tr>
      <w:tr w:rsidR="001010FF" w14:paraId="1BC1258A" w14:textId="77777777">
        <w:tblPrEx>
          <w:tblCellMar>
            <w:top w:w="0" w:type="dxa"/>
            <w:bottom w:w="0" w:type="dxa"/>
          </w:tblCellMar>
        </w:tblPrEx>
        <w:tc>
          <w:tcPr>
            <w:tcW w:w="336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0AD958A8" w14:textId="77777777" w:rsidR="001010FF" w:rsidRDefault="006F7657">
            <w:r>
              <w:rPr>
                <w:b/>
                <w:bCs/>
                <w:color w:val="1B3A6B"/>
              </w:rPr>
              <w:t>Pediatric</w:t>
            </w:r>
          </w:p>
        </w:tc>
        <w:tc>
          <w:tcPr>
            <w:tcW w:w="336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4F2AD55C" w14:textId="77777777" w:rsidR="001010FF" w:rsidRDefault="006F7657">
            <w:pPr>
              <w:jc w:val="center"/>
            </w:pPr>
            <w:r>
              <w:t>1,430</w:t>
            </w:r>
          </w:p>
        </w:tc>
        <w:tc>
          <w:tcPr>
            <w:tcW w:w="3360" w:type="dxa"/>
            <w:tcBorders>
              <w:top w:val="single" w:sz="1" w:space="0" w:color="D0D7E5"/>
              <w:left w:val="single" w:sz="1" w:space="0" w:color="D0D7E5"/>
              <w:bottom w:val="single" w:sz="1" w:space="0" w:color="D0D7E5"/>
              <w:right w:val="single" w:sz="1" w:space="0" w:color="D0D7E5"/>
            </w:tcBorders>
            <w:shd w:val="clear" w:color="auto" w:fill="F5F7FA"/>
            <w:tcMar>
              <w:top w:w="100" w:type="dxa"/>
              <w:left w:w="150" w:type="dxa"/>
              <w:bottom w:w="100" w:type="dxa"/>
              <w:right w:w="150" w:type="dxa"/>
            </w:tcMar>
            <w:vAlign w:val="center"/>
          </w:tcPr>
          <w:p w14:paraId="39480A55" w14:textId="77777777" w:rsidR="001010FF" w:rsidRDefault="006F7657">
            <w:pPr>
              <w:jc w:val="center"/>
            </w:pPr>
            <w:r>
              <w:rPr>
                <w:color w:val="0D7377"/>
              </w:rPr>
              <w:t>10.1%</w:t>
            </w:r>
          </w:p>
        </w:tc>
      </w:tr>
    </w:tbl>
    <w:p w14:paraId="5BC9DD9F" w14:textId="77777777" w:rsidR="001010FF" w:rsidRDefault="001010FF">
      <w:pPr>
        <w:spacing w:before="80" w:after="80"/>
      </w:pPr>
    </w:p>
    <w:p w14:paraId="6A480955" w14:textId="77777777" w:rsidR="001010FF" w:rsidRDefault="006F7657">
      <w:r>
        <w:br w:type="page"/>
      </w:r>
    </w:p>
    <w:p w14:paraId="689AE349" w14:textId="77777777" w:rsidR="001010FF" w:rsidRDefault="006F7657">
      <w:pPr>
        <w:pBdr>
          <w:left w:val="single" w:sz="24" w:space="0" w:color="E67E22"/>
        </w:pBdr>
        <w:shd w:val="clear" w:color="auto" w:fill="0D7377"/>
        <w:spacing w:before="320" w:after="120"/>
      </w:pPr>
      <w:r>
        <w:rPr>
          <w:sz w:val="24"/>
          <w:szCs w:val="24"/>
        </w:rPr>
        <w:lastRenderedPageBreak/>
        <w:t xml:space="preserve">  </w:t>
      </w:r>
      <w:r>
        <w:rPr>
          <w:b/>
          <w:bCs/>
          <w:color w:val="FFFFFF"/>
          <w:sz w:val="24"/>
          <w:szCs w:val="24"/>
        </w:rPr>
        <w:t xml:space="preserve">  STRATEGIC RECOMMENDATIONS</w:t>
      </w:r>
    </w:p>
    <w:p w14:paraId="190E4675" w14:textId="77777777" w:rsidR="001010FF" w:rsidRDefault="001010FF">
      <w:pPr>
        <w:spacing w:before="80" w:after="80"/>
      </w:pPr>
    </w:p>
    <w:p w14:paraId="53B1AF4C" w14:textId="77777777" w:rsidR="001010FF" w:rsidRDefault="006F7657">
      <w:pPr>
        <w:pBdr>
          <w:bottom w:val="single" w:sz="4" w:space="0" w:color="0D7377"/>
        </w:pBdr>
        <w:spacing w:before="200" w:after="80"/>
      </w:pPr>
      <w:r>
        <w:rPr>
          <w:b/>
          <w:bCs/>
          <w:color w:val="1B3A6B"/>
          <w:sz w:val="22"/>
          <w:szCs w:val="22"/>
        </w:rPr>
        <w:t>1. Recalibrate Performance Benchmarks</w:t>
      </w:r>
    </w:p>
    <w:p w14:paraId="629EEAAC" w14:textId="77777777" w:rsidR="001010FF" w:rsidRDefault="006F7657">
      <w:pPr>
        <w:spacing w:before="60" w:after="60"/>
      </w:pPr>
      <w:r>
        <w:rPr>
          <w:color w:val="4A4A6A"/>
        </w:rPr>
        <w:t>With 95.3% Late rate and 0% Excellent, the current thresholds do not reflect operational reality. A benchmarking exercise against regional standards is recommended to define achievable KPI targets.</w:t>
      </w:r>
    </w:p>
    <w:p w14:paraId="059DB030" w14:textId="77777777" w:rsidR="001010FF" w:rsidRDefault="001010FF">
      <w:pPr>
        <w:spacing w:before="80" w:after="80"/>
      </w:pPr>
    </w:p>
    <w:p w14:paraId="0D7CE3E7" w14:textId="77777777" w:rsidR="001010FF" w:rsidRDefault="006F7657">
      <w:pPr>
        <w:pBdr>
          <w:bottom w:val="single" w:sz="4" w:space="0" w:color="0D7377"/>
        </w:pBdr>
        <w:spacing w:before="200" w:after="80"/>
      </w:pPr>
      <w:r>
        <w:rPr>
          <w:b/>
          <w:bCs/>
          <w:color w:val="1B3A6B"/>
          <w:sz w:val="22"/>
          <w:szCs w:val="22"/>
        </w:rPr>
        <w:t>2. Rebalance Hospital Referral Load</w:t>
      </w:r>
    </w:p>
    <w:p w14:paraId="0B3FCCD1" w14:textId="77777777" w:rsidR="001010FF" w:rsidRDefault="006F7657">
      <w:pPr>
        <w:spacing w:before="60" w:after="60"/>
      </w:pPr>
      <w:r>
        <w:rPr>
          <w:color w:val="4A4A6A"/>
        </w:rPr>
        <w:t>H1 absorbs 72% of transfers. A structured load-balancing protocol should be evaluated to distribute cases more equitably across H2, H3, and H4, reducing bottleneck risk.</w:t>
      </w:r>
    </w:p>
    <w:p w14:paraId="29A134BC" w14:textId="77777777" w:rsidR="001010FF" w:rsidRDefault="001010FF">
      <w:pPr>
        <w:spacing w:before="80" w:after="80"/>
      </w:pPr>
    </w:p>
    <w:p w14:paraId="2870DCBA" w14:textId="77777777" w:rsidR="001010FF" w:rsidRDefault="006F7657">
      <w:pPr>
        <w:pBdr>
          <w:bottom w:val="single" w:sz="4" w:space="0" w:color="0D7377"/>
        </w:pBdr>
        <w:spacing w:before="200" w:after="80"/>
      </w:pPr>
      <w:r>
        <w:rPr>
          <w:b/>
          <w:bCs/>
          <w:color w:val="1B3A6B"/>
          <w:sz w:val="22"/>
          <w:szCs w:val="22"/>
        </w:rPr>
        <w:t>3. Address Specialty &amp; Equipment Gaps</w:t>
      </w:r>
    </w:p>
    <w:p w14:paraId="0CD0898A" w14:textId="77777777" w:rsidR="001010FF" w:rsidRDefault="006F7657">
      <w:pPr>
        <w:spacing w:before="60" w:after="60"/>
      </w:pPr>
      <w:r>
        <w:rPr>
          <w:color w:val="4A4A6A"/>
        </w:rPr>
        <w:t>Two-thirds of transfers stem from Specialty or Equipment shortages at origin facilities. A targeted capital investment plan or specialist-sharing protocol could significantly reduce avoidable transfers.</w:t>
      </w:r>
    </w:p>
    <w:p w14:paraId="37392EED" w14:textId="77777777" w:rsidR="001010FF" w:rsidRDefault="001010FF">
      <w:pPr>
        <w:spacing w:before="80" w:after="80"/>
      </w:pPr>
    </w:p>
    <w:p w14:paraId="27CA11FE" w14:textId="77777777" w:rsidR="001010FF" w:rsidRDefault="006F7657">
      <w:pPr>
        <w:pBdr>
          <w:bottom w:val="single" w:sz="4" w:space="0" w:color="0D7377"/>
        </w:pBdr>
        <w:spacing w:before="200" w:after="80"/>
      </w:pPr>
      <w:r>
        <w:rPr>
          <w:b/>
          <w:bCs/>
          <w:color w:val="1B3A6B"/>
          <w:sz w:val="22"/>
          <w:szCs w:val="22"/>
        </w:rPr>
        <w:t>4. Optimize Morning Shift Capacity</w:t>
      </w:r>
    </w:p>
    <w:p w14:paraId="0E20F33A" w14:textId="77777777" w:rsidR="001010FF" w:rsidRDefault="006F7657">
      <w:pPr>
        <w:spacing w:before="60" w:after="60"/>
      </w:pPr>
      <w:r>
        <w:rPr>
          <w:color w:val="4A4A6A"/>
        </w:rPr>
        <w:t>60% of transfers occur in the morning. Staffing levels and ambulance deployment should be adjusted to ensure peak readiness during morning hours, particularly for emergency cases.</w:t>
      </w:r>
    </w:p>
    <w:p w14:paraId="211FA328" w14:textId="77777777" w:rsidR="001010FF" w:rsidRDefault="001010FF">
      <w:pPr>
        <w:spacing w:before="80" w:after="80"/>
      </w:pPr>
    </w:p>
    <w:p w14:paraId="55C2FA04" w14:textId="77777777" w:rsidR="001010FF" w:rsidRDefault="006F7657">
      <w:pPr>
        <w:pBdr>
          <w:bottom w:val="single" w:sz="4" w:space="0" w:color="0D7377"/>
        </w:pBdr>
        <w:spacing w:before="200" w:after="80"/>
      </w:pPr>
      <w:r>
        <w:rPr>
          <w:b/>
          <w:bCs/>
          <w:color w:val="1B3A6B"/>
          <w:sz w:val="22"/>
          <w:szCs w:val="22"/>
        </w:rPr>
        <w:t>5. Activate Real-Time Alert System</w:t>
      </w:r>
    </w:p>
    <w:p w14:paraId="33FE460B" w14:textId="77777777" w:rsidR="001010FF" w:rsidRDefault="006F7657">
      <w:pPr>
        <w:spacing w:before="60" w:after="60"/>
      </w:pPr>
      <w:r>
        <w:rPr>
          <w:color w:val="4A4A6A"/>
        </w:rPr>
        <w:t>Implement automated weekly performance alerts for center managers when late rates exceed 97% or dispatch times exceed 8 minutes, enabling faster corrective action.</w:t>
      </w:r>
    </w:p>
    <w:p w14:paraId="3CD1DEA0" w14:textId="77777777" w:rsidR="001010FF" w:rsidRDefault="001010FF">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010FF" w14:paraId="4B1F9A92" w14:textId="77777777">
        <w:tblPrEx>
          <w:tblCellMar>
            <w:top w:w="0" w:type="dxa"/>
            <w:bottom w:w="0" w:type="dxa"/>
          </w:tblCellMar>
        </w:tblPrEx>
        <w:tc>
          <w:tcPr>
            <w:tcW w:w="10080" w:type="dxa"/>
            <w:tcBorders>
              <w:top w:val="single" w:sz="1" w:space="0" w:color="D0D7E5"/>
              <w:left w:val="single" w:sz="16" w:space="0" w:color="0D7377"/>
              <w:bottom w:val="single" w:sz="1" w:space="0" w:color="D0D7E5"/>
              <w:right w:val="single" w:sz="1" w:space="0" w:color="D0D7E5"/>
            </w:tcBorders>
            <w:shd w:val="clear" w:color="auto" w:fill="F5F7FA"/>
            <w:tcMar>
              <w:top w:w="200" w:type="dxa"/>
              <w:left w:w="280" w:type="dxa"/>
              <w:bottom w:w="200" w:type="dxa"/>
              <w:right w:w="200" w:type="dxa"/>
            </w:tcMar>
          </w:tcPr>
          <w:p w14:paraId="5A5676AA" w14:textId="77777777" w:rsidR="001010FF" w:rsidRDefault="006F7657">
            <w:pPr>
              <w:spacing w:after="80"/>
            </w:pPr>
            <w:r>
              <w:rPr>
                <w:b/>
                <w:bCs/>
                <w:color w:val="0D7377"/>
              </w:rPr>
              <w:t>REPORT DETAILS</w:t>
            </w:r>
          </w:p>
          <w:p w14:paraId="42135018" w14:textId="77777777" w:rsidR="001010FF" w:rsidRDefault="006F7657">
            <w:pPr>
              <w:spacing w:before="60" w:after="60"/>
            </w:pPr>
            <w:r>
              <w:rPr>
                <w:color w:val="4A4A6A"/>
              </w:rPr>
              <w:t>Period Covered: January 1, 2025 – December 31, 2025</w:t>
            </w:r>
          </w:p>
          <w:p w14:paraId="79F4779D" w14:textId="77777777" w:rsidR="001010FF" w:rsidRDefault="006F7657">
            <w:pPr>
              <w:spacing w:before="60" w:after="60"/>
            </w:pPr>
            <w:r>
              <w:rPr>
                <w:color w:val="4A4A6A"/>
              </w:rPr>
              <w:t>Data Source: Medical Transport Operations System</w:t>
            </w:r>
          </w:p>
          <w:p w14:paraId="329DCC81" w14:textId="77777777" w:rsidR="001010FF" w:rsidRDefault="006F7657">
            <w:pPr>
              <w:spacing w:before="60" w:after="60"/>
            </w:pPr>
            <w:r>
              <w:rPr>
                <w:color w:val="4A4A6A"/>
              </w:rPr>
              <w:t>Total Records Analyzed: 14,169 transfer missions</w:t>
            </w:r>
          </w:p>
          <w:p w14:paraId="6ABB3E1D" w14:textId="77777777" w:rsidR="001010FF" w:rsidRDefault="006F7657">
            <w:pPr>
              <w:spacing w:before="60" w:after="60"/>
            </w:pPr>
            <w:r>
              <w:rPr>
                <w:color w:val="4A4A6A"/>
              </w:rPr>
              <w:t>Report Classification: Confidential — For Internal Use Only</w:t>
            </w:r>
          </w:p>
          <w:p w14:paraId="2C4AC2CA" w14:textId="77777777" w:rsidR="001010FF" w:rsidRDefault="006F7657">
            <w:pPr>
              <w:spacing w:before="60" w:after="60"/>
            </w:pPr>
            <w:r>
              <w:rPr>
                <w:color w:val="4A4A6A"/>
              </w:rPr>
              <w:t>Prepared by: Operations Analytics Unit</w:t>
            </w:r>
          </w:p>
        </w:tc>
      </w:tr>
    </w:tbl>
    <w:p w14:paraId="1679AF0E" w14:textId="77777777" w:rsidR="006F7657" w:rsidRDefault="006F7657"/>
    <w:sectPr w:rsidR="006F765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8C264" w14:textId="77777777" w:rsidR="006F7657" w:rsidRDefault="006F7657">
      <w:r>
        <w:separator/>
      </w:r>
    </w:p>
  </w:endnote>
  <w:endnote w:type="continuationSeparator" w:id="0">
    <w:p w14:paraId="6ED9D706" w14:textId="77777777" w:rsidR="006F7657" w:rsidRDefault="006F7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6FB74" w14:textId="77777777" w:rsidR="001010FF" w:rsidRDefault="006F7657">
    <w:pPr>
      <w:pBdr>
        <w:top w:val="single" w:sz="4" w:space="0" w:color="D0D7E5"/>
      </w:pBdr>
      <w:spacing w:before="120"/>
      <w:jc w:val="center"/>
    </w:pPr>
    <w:r>
      <w:rPr>
        <w:color w:val="4A4A6A"/>
        <w:sz w:val="16"/>
        <w:szCs w:val="16"/>
      </w:rPr>
      <w:t xml:space="preserve">CONFIDENTIAL — For Internal Use </w:t>
    </w:r>
    <w:proofErr w:type="gramStart"/>
    <w:r>
      <w:rPr>
        <w:color w:val="4A4A6A"/>
        <w:sz w:val="16"/>
        <w:szCs w:val="16"/>
      </w:rPr>
      <w:t>Only  |</w:t>
    </w:r>
    <w:proofErr w:type="gramEnd"/>
    <w:r>
      <w:rPr>
        <w:color w:val="4A4A6A"/>
        <w:sz w:val="16"/>
        <w:szCs w:val="16"/>
      </w:rPr>
      <w:t xml:space="preserve">  Medical Transport Analytics </w:t>
    </w:r>
    <w:proofErr w:type="gramStart"/>
    <w:r>
      <w:rPr>
        <w:color w:val="4A4A6A"/>
        <w:sz w:val="16"/>
        <w:szCs w:val="16"/>
      </w:rPr>
      <w:t>2025  |</w:t>
    </w:r>
    <w:proofErr w:type="gramEnd"/>
    <w:r>
      <w:rPr>
        <w:color w:val="4A4A6A"/>
        <w:sz w:val="16"/>
        <w:szCs w:val="16"/>
      </w:rPr>
      <w:t xml:space="preserve">  Page </w:t>
    </w:r>
    <w:r>
      <w:rPr>
        <w:color w:val="1B3A6B"/>
        <w:sz w:val="16"/>
        <w:szCs w:val="16"/>
      </w:rPr>
      <w:fldChar w:fldCharType="begin"/>
    </w:r>
    <w:r>
      <w:rPr>
        <w:color w:val="1B3A6B"/>
        <w:sz w:val="16"/>
        <w:szCs w:val="16"/>
      </w:rPr>
      <w:instrText>PAGE</w:instrText>
    </w:r>
    <w:r>
      <w:rPr>
        <w:color w:val="1B3A6B"/>
        <w:sz w:val="16"/>
        <w:szCs w:val="16"/>
      </w:rPr>
      <w:fldChar w:fldCharType="separate"/>
    </w:r>
    <w:r w:rsidR="00982FDA">
      <w:rPr>
        <w:noProof/>
        <w:color w:val="1B3A6B"/>
        <w:sz w:val="16"/>
        <w:szCs w:val="16"/>
      </w:rPr>
      <w:t>1</w:t>
    </w:r>
    <w:r>
      <w:rPr>
        <w:color w:val="1B3A6B"/>
        <w:sz w:val="16"/>
        <w:szCs w:val="16"/>
      </w:rPr>
      <w:fldChar w:fldCharType="end"/>
    </w:r>
    <w:r>
      <w:rPr>
        <w:color w:val="4A4A6A"/>
        <w:sz w:val="16"/>
        <w:szCs w:val="16"/>
      </w:rPr>
      <w:t xml:space="preserve"> of </w:t>
    </w:r>
    <w:r>
      <w:rPr>
        <w:color w:val="1B3A6B"/>
        <w:sz w:val="16"/>
        <w:szCs w:val="16"/>
      </w:rPr>
      <w:fldChar w:fldCharType="begin"/>
    </w:r>
    <w:r>
      <w:rPr>
        <w:color w:val="1B3A6B"/>
        <w:sz w:val="16"/>
        <w:szCs w:val="16"/>
      </w:rPr>
      <w:instrText>NUMPAGES</w:instrText>
    </w:r>
    <w:r>
      <w:rPr>
        <w:color w:val="1B3A6B"/>
        <w:sz w:val="16"/>
        <w:szCs w:val="16"/>
      </w:rPr>
      <w:fldChar w:fldCharType="separate"/>
    </w:r>
    <w:r w:rsidR="00982FDA">
      <w:rPr>
        <w:noProof/>
        <w:color w:val="1B3A6B"/>
        <w:sz w:val="16"/>
        <w:szCs w:val="16"/>
      </w:rPr>
      <w:t>2</w:t>
    </w:r>
    <w:r>
      <w:rPr>
        <w:color w:val="1B3A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AC2B0" w14:textId="77777777" w:rsidR="006F7657" w:rsidRDefault="006F7657">
      <w:r>
        <w:separator/>
      </w:r>
    </w:p>
  </w:footnote>
  <w:footnote w:type="continuationSeparator" w:id="0">
    <w:p w14:paraId="5B792334" w14:textId="77777777" w:rsidR="006F7657" w:rsidRDefault="006F7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1010FF" w14:paraId="03D4380D"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010DDB4E" w14:textId="77777777" w:rsidR="001010FF" w:rsidRDefault="006F7657">
          <w:proofErr w:type="gramStart"/>
          <w:r>
            <w:rPr>
              <w:b/>
              <w:bCs/>
              <w:color w:val="FFFFFF"/>
              <w:sz w:val="22"/>
              <w:szCs w:val="22"/>
            </w:rPr>
            <w:t>🏥</w:t>
          </w:r>
          <w:r>
            <w:rPr>
              <w:b/>
              <w:bCs/>
              <w:color w:val="FFFFFF"/>
              <w:sz w:val="22"/>
              <w:szCs w:val="22"/>
            </w:rPr>
            <w:t xml:space="preserve">  Medical</w:t>
          </w:r>
          <w:proofErr w:type="gramEnd"/>
          <w:r>
            <w:rPr>
              <w:b/>
              <w:bCs/>
              <w:color w:val="FFFFFF"/>
              <w:sz w:val="22"/>
              <w:szCs w:val="22"/>
            </w:rPr>
            <w:t xml:space="preserve"> Transport Operations</w:t>
          </w:r>
        </w:p>
      </w:tc>
      <w:tc>
        <w:tcPr>
          <w:tcW w:w="308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0BA2E913" w14:textId="77777777" w:rsidR="001010FF" w:rsidRDefault="006F7657">
          <w:pPr>
            <w:jc w:val="right"/>
          </w:pPr>
          <w:r>
            <w:rPr>
              <w:color w:val="A8C4E0"/>
              <w:sz w:val="18"/>
              <w:szCs w:val="18"/>
            </w:rPr>
            <w:t xml:space="preserve">Weekly Operations </w:t>
          </w:r>
          <w:proofErr w:type="gramStart"/>
          <w:r>
            <w:rPr>
              <w:color w:val="A8C4E0"/>
              <w:sz w:val="18"/>
              <w:szCs w:val="18"/>
            </w:rPr>
            <w:t>Report  |</w:t>
          </w:r>
          <w:proofErr w:type="gramEnd"/>
          <w:r>
            <w:rPr>
              <w:color w:val="A8C4E0"/>
              <w:sz w:val="18"/>
              <w:szCs w:val="18"/>
            </w:rPr>
            <w:t xml:space="preserve">  2025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4531"/>
    <w:multiLevelType w:val="hybridMultilevel"/>
    <w:tmpl w:val="B742F368"/>
    <w:lvl w:ilvl="0" w:tplc="8C6A3E5E">
      <w:start w:val="1"/>
      <w:numFmt w:val="bullet"/>
      <w:lvlText w:val="●"/>
      <w:lvlJc w:val="left"/>
      <w:pPr>
        <w:ind w:left="720" w:hanging="360"/>
      </w:pPr>
    </w:lvl>
    <w:lvl w:ilvl="1" w:tplc="0B7033D8">
      <w:start w:val="1"/>
      <w:numFmt w:val="bullet"/>
      <w:lvlText w:val="○"/>
      <w:lvlJc w:val="left"/>
      <w:pPr>
        <w:ind w:left="1440" w:hanging="360"/>
      </w:pPr>
    </w:lvl>
    <w:lvl w:ilvl="2" w:tplc="2DB00592">
      <w:start w:val="1"/>
      <w:numFmt w:val="bullet"/>
      <w:lvlText w:val="■"/>
      <w:lvlJc w:val="left"/>
      <w:pPr>
        <w:ind w:left="2160" w:hanging="360"/>
      </w:pPr>
    </w:lvl>
    <w:lvl w:ilvl="3" w:tplc="06AAE9CC">
      <w:start w:val="1"/>
      <w:numFmt w:val="bullet"/>
      <w:lvlText w:val="●"/>
      <w:lvlJc w:val="left"/>
      <w:pPr>
        <w:ind w:left="2880" w:hanging="360"/>
      </w:pPr>
    </w:lvl>
    <w:lvl w:ilvl="4" w:tplc="E0B40528">
      <w:start w:val="1"/>
      <w:numFmt w:val="bullet"/>
      <w:lvlText w:val="○"/>
      <w:lvlJc w:val="left"/>
      <w:pPr>
        <w:ind w:left="3600" w:hanging="360"/>
      </w:pPr>
    </w:lvl>
    <w:lvl w:ilvl="5" w:tplc="2424F8EC">
      <w:start w:val="1"/>
      <w:numFmt w:val="bullet"/>
      <w:lvlText w:val="■"/>
      <w:lvlJc w:val="left"/>
      <w:pPr>
        <w:ind w:left="4320" w:hanging="360"/>
      </w:pPr>
    </w:lvl>
    <w:lvl w:ilvl="6" w:tplc="2DA8E188">
      <w:start w:val="1"/>
      <w:numFmt w:val="bullet"/>
      <w:lvlText w:val="●"/>
      <w:lvlJc w:val="left"/>
      <w:pPr>
        <w:ind w:left="5040" w:hanging="360"/>
      </w:pPr>
    </w:lvl>
    <w:lvl w:ilvl="7" w:tplc="A3BE587E">
      <w:start w:val="1"/>
      <w:numFmt w:val="bullet"/>
      <w:lvlText w:val="●"/>
      <w:lvlJc w:val="left"/>
      <w:pPr>
        <w:ind w:left="5760" w:hanging="360"/>
      </w:pPr>
    </w:lvl>
    <w:lvl w:ilvl="8" w:tplc="3F86897E">
      <w:start w:val="1"/>
      <w:numFmt w:val="bullet"/>
      <w:lvlText w:val="●"/>
      <w:lvlJc w:val="left"/>
      <w:pPr>
        <w:ind w:left="6480" w:hanging="360"/>
      </w:pPr>
    </w:lvl>
  </w:abstractNum>
  <w:abstractNum w:abstractNumId="1" w15:restartNumberingAfterBreak="0">
    <w:nsid w:val="7E6B3116"/>
    <w:multiLevelType w:val="hybridMultilevel"/>
    <w:tmpl w:val="86E0E79C"/>
    <w:lvl w:ilvl="0" w:tplc="D9D2F1FA">
      <w:start w:val="1"/>
      <w:numFmt w:val="bullet"/>
      <w:lvlText w:val="•"/>
      <w:lvlJc w:val="left"/>
      <w:pPr>
        <w:ind w:left="720" w:hanging="360"/>
      </w:pPr>
    </w:lvl>
    <w:lvl w:ilvl="1" w:tplc="92C61DF2">
      <w:numFmt w:val="decimal"/>
      <w:lvlText w:val=""/>
      <w:lvlJc w:val="left"/>
    </w:lvl>
    <w:lvl w:ilvl="2" w:tplc="3C363BA2">
      <w:numFmt w:val="decimal"/>
      <w:lvlText w:val=""/>
      <w:lvlJc w:val="left"/>
    </w:lvl>
    <w:lvl w:ilvl="3" w:tplc="35D807D0">
      <w:numFmt w:val="decimal"/>
      <w:lvlText w:val=""/>
      <w:lvlJc w:val="left"/>
    </w:lvl>
    <w:lvl w:ilvl="4" w:tplc="313E5C86">
      <w:numFmt w:val="decimal"/>
      <w:lvlText w:val=""/>
      <w:lvlJc w:val="left"/>
    </w:lvl>
    <w:lvl w:ilvl="5" w:tplc="0C603EF4">
      <w:numFmt w:val="decimal"/>
      <w:lvlText w:val=""/>
      <w:lvlJc w:val="left"/>
    </w:lvl>
    <w:lvl w:ilvl="6" w:tplc="65365414">
      <w:numFmt w:val="decimal"/>
      <w:lvlText w:val=""/>
      <w:lvlJc w:val="left"/>
    </w:lvl>
    <w:lvl w:ilvl="7" w:tplc="061A8F7E">
      <w:numFmt w:val="decimal"/>
      <w:lvlText w:val=""/>
      <w:lvlJc w:val="left"/>
    </w:lvl>
    <w:lvl w:ilvl="8" w:tplc="660AFB6C">
      <w:numFmt w:val="decimal"/>
      <w:lvlText w:val=""/>
      <w:lvlJc w:val="left"/>
    </w:lvl>
  </w:abstractNum>
  <w:num w:numId="1" w16cid:durableId="1139570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0FF"/>
    <w:rsid w:val="001010FF"/>
    <w:rsid w:val="006F7657"/>
    <w:rsid w:val="00982FDA"/>
    <w:rsid w:val="00EA3F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DBEB4"/>
  <w15:docId w15:val="{6E829DF6-5E4C-41B2-9BB6-B1B3CB3AE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797</Words>
  <Characters>4546</Characters>
  <Application>Microsoft Office Word</Application>
  <DocSecurity>0</DocSecurity>
  <Lines>37</Lines>
  <Paragraphs>10</Paragraphs>
  <ScaleCrop>false</ScaleCrop>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Alshehri</cp:lastModifiedBy>
  <cp:revision>2</cp:revision>
  <dcterms:created xsi:type="dcterms:W3CDTF">2026-02-25T06:13:00Z</dcterms:created>
  <dcterms:modified xsi:type="dcterms:W3CDTF">2026-02-25T06:13:00Z</dcterms:modified>
</cp:coreProperties>
</file>