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Segoe UI Emoji" w:cs="Segoe UI Emoji" w:eastAsia="Segoe UI Emoji" w:hAnsi="Segoe UI Emoji"/>
          <w:sz w:val="80"/>
          <w:szCs w:val="80"/>
        </w:rPr>
        <w:t xml:space="preserve">🐬</w:t>
      </w:r>
    </w:p>
    <w:p>
      <w:pPr>
        <w:spacing w:after="120"/>
        <w:jc w:val="center"/>
      </w:pPr>
      <w:r>
        <w:rPr>
          <w:rFonts w:ascii="Arial" w:cs="Arial" w:eastAsia="Arial" w:hAnsi="Arial"/>
          <w:b/>
          <w:bCs/>
          <w:color w:val="0D2B3E"/>
          <w:sz w:val="52"/>
          <w:szCs w:val="52"/>
        </w:rPr>
        <w:t xml:space="preserve">DOLPHI MARKETING SUITE</w:t>
      </w:r>
    </w:p>
    <w:p>
      <w:pPr>
        <w:spacing w:after="400"/>
        <w:jc w:val="center"/>
      </w:pPr>
      <w:r>
        <w:rPr>
          <w:rFonts w:ascii="Arial" w:cs="Arial" w:eastAsia="Arial" w:hAnsi="Arial"/>
          <w:color w:val="065A82"/>
          <w:sz w:val="28"/>
          <w:szCs w:val="28"/>
        </w:rPr>
        <w:t xml:space="preserve">Build vs Buy Analysis</w:t>
      </w:r>
    </w:p>
    <w:p>
      <w:pPr>
        <w:spacing w:after="200"/>
        <w:jc w:val="center"/>
      </w:pPr>
      <w:r>
        <w:rPr>
          <w:rFonts w:ascii="Arial" w:cs="Arial" w:eastAsia="Arial" w:hAnsi="Arial"/>
          <w:color w:val="64748B"/>
          <w:sz w:val="22"/>
          <w:szCs w:val="22"/>
        </w:rPr>
        <w:t xml:space="preserve">Version 1.0  |  March 2026  |  Confidential</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rPr>
          <w:rFonts w:ascii="Arial" w:cs="Arial" w:eastAsia="Arial" w:hAnsi="Arial"/>
          <w:b/>
          <w:bCs/>
          <w:color w:val="0D2B3E"/>
          <w:sz w:val="36"/>
          <w:szCs w:val="36"/>
        </w:rPr>
        <w:t xml:space="preserve">1. Executive Summary</w:t>
      </w:r>
    </w:p>
    <w:p>
      <w:pPr>
        <w:spacing w:after="140"/>
      </w:pPr>
      <w:r>
        <w:rPr>
          <w:rFonts w:ascii="Arial" w:cs="Arial" w:eastAsia="Arial" w:hAnsi="Arial"/>
          <w:color w:val="1E293B"/>
          <w:sz w:val="22"/>
          <w:szCs w:val="22"/>
        </w:rPr>
        <w:t xml:space="preserve">This document evaluates 25+ platform components for Dolphi Marketing Suite and provides clear recommendations for each: Build (core product), Buy (third-party SaaS), or Build-on-top-of (use APIs, build integration).</w:t>
      </w:r>
    </w:p>
    <w:p>
      <w:pPr>
        <w:spacing w:after="100"/>
      </w:pP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800"/>
      </w:tblGrid>
      <w:tr>
        <w:tc>
          <w:tcPr>
            <w:tcBorders>
              <w:top w:val="single" w:color="00A896" w:sz="4"/>
              <w:left w:val="single" w:color="00A896" w:sz="4"/>
              <w:bottom w:val="single" w:color="D1E8F0" w:sz="1"/>
              <w:right w:val="single" w:color="D1E8F0" w:sz="1"/>
            </w:tcBorders>
            <w:shd w:fill="EEF9F8" w:val="clear"/>
            <w:tcMar>
              <w:top w:type="dxa" w:w="120"/>
              <w:left w:type="dxa" w:w="180"/>
              <w:bottom w:type="dxa" w:w="120"/>
              <w:right w:type="dxa" w:w="120"/>
            </w:tcMar>
          </w:tcPr>
          <w:p>
            <w:pPr>
              <w:spacing w:after="80"/>
            </w:pPr>
            <w:r>
              <w:rPr>
                <w:rFonts w:ascii="Arial" w:cs="Arial" w:eastAsia="Arial" w:hAnsi="Arial"/>
                <w:b/>
                <w:bCs/>
                <w:color w:val="065A82"/>
                <w:sz w:val="22"/>
                <w:szCs w:val="22"/>
              </w:rPr>
              <w:t xml:space="preserve">Key Recommendations</w:t>
            </w:r>
          </w:p>
          <w:p>
            <w:pPr>
              <w:spacing w:after="60"/>
            </w:pPr>
            <w:r>
              <w:rPr>
                <w:rFonts w:ascii="Arial" w:cs="Arial" w:eastAsia="Arial" w:hAnsi="Arial"/>
                <w:color w:val="1E293B"/>
                <w:sz w:val="20"/>
                <w:szCs w:val="20"/>
              </w:rPr>
              <w:t xml:space="preserve">• Don't build: payments (Stripe), email infrastructure (Amazon SES), authentication, CDN</w:t>
            </w:r>
          </w:p>
          <w:p>
            <w:pPr>
              <w:spacing w:after="60"/>
            </w:pPr>
            <w:r>
              <w:rPr>
                <w:rFonts w:ascii="Arial" w:cs="Arial" w:eastAsia="Arial" w:hAnsi="Arial"/>
                <w:color w:val="1E293B"/>
                <w:sz w:val="20"/>
                <w:szCs w:val="20"/>
              </w:rPr>
              <w:t xml:space="preserve">• DO build: campaign builder, campaign tracker, AI orchestration layer, dashboard</w:t>
            </w:r>
          </w:p>
          <w:p>
            <w:pPr>
              <w:spacing w:after="60"/>
            </w:pPr>
            <w:r>
              <w:rPr>
                <w:rFonts w:ascii="Arial" w:cs="Arial" w:eastAsia="Arial" w:hAnsi="Arial"/>
                <w:color w:val="1E293B"/>
                <w:sz w:val="20"/>
                <w:szCs w:val="20"/>
              </w:rPr>
              <w:t xml:space="preserve">• Build-on-top: Social APIs, Accounting APIs, AI language models, Google Ads API, Meta Ads API</w:t>
            </w:r>
          </w:p>
          <w:p>
            <w:pPr>
              <w:spacing w:after="60"/>
            </w:pPr>
            <w:r>
              <w:rPr>
                <w:rFonts w:ascii="Arial" w:cs="Arial" w:eastAsia="Arial" w:hAnsi="Arial"/>
                <w:color w:val="1E293B"/>
                <w:sz w:val="20"/>
                <w:szCs w:val="20"/>
              </w:rPr>
              <w:t xml:space="preserve">• Total platform cost at 10,000 tenants: $47,000–$62,000 AUD/month</w:t>
            </w:r>
          </w:p>
          <w:p>
            <w:pPr>
              <w:spacing w:after="60"/>
            </w:pPr>
            <w:r>
              <w:rPr>
                <w:rFonts w:ascii="Arial" w:cs="Arial" w:eastAsia="Arial" w:hAnsi="Arial"/>
                <w:color w:val="1E293B"/>
                <w:sz w:val="20"/>
                <w:szCs w:val="20"/>
              </w:rPr>
              <w:t xml:space="preserve">• At $149 ARPU × 10,000 tenants = $1.49M MRR → platform cost = 3.1–4.2% of revenue (excellent unit economics)</w:t>
            </w:r>
          </w:p>
        </w:tc>
      </w:tr>
    </w:tbl>
    <w:p>
      <w:pPr>
        <w:spacing w:after="100"/>
      </w:pPr>
    </w:p>
    <w:p>
      <w:pPr>
        <w:spacing w:after="140"/>
      </w:pPr>
      <w:r>
        <w:rPr>
          <w:rFonts w:ascii="Arial" w:cs="Arial" w:eastAsia="Arial" w:hAnsi="Arial"/>
          <w:color w:val="1E293B"/>
          <w:sz w:val="22"/>
          <w:szCs w:val="22"/>
        </w:rPr>
        <w:t xml:space="preserve">This philosophy optimizes for speed to market, cost efficiency, and competitive moat. We avoid building commodity services where existing solutions are cheaper and better, and focus engineering on features that differentiate Dolphi in the market.</w:t>
      </w:r>
    </w:p>
    <w:p>
      <w:pPr>
        <w:spacing w:after="100"/>
      </w:pPr>
    </w:p>
    <w:p>
      <w:pPr>
        <w:pStyle w:val="Heading1"/>
        <w:pageBreakBefore/>
      </w:pPr>
      <w:r>
        <w:rPr>
          <w:rFonts w:ascii="Arial" w:cs="Arial" w:eastAsia="Arial" w:hAnsi="Arial"/>
          <w:b/>
          <w:bCs/>
          <w:color w:val="0D2B3E"/>
          <w:sz w:val="36"/>
          <w:szCs w:val="36"/>
        </w:rPr>
        <w:t xml:space="preserve">2. Decision Framework</w:t>
      </w:r>
    </w:p>
    <w:p>
      <w:pPr>
        <w:spacing w:after="140"/>
      </w:pPr>
      <w:r>
        <w:rPr>
          <w:rFonts w:ascii="Arial" w:cs="Arial" w:eastAsia="Arial" w:hAnsi="Arial"/>
          <w:color w:val="1E293B"/>
          <w:sz w:val="22"/>
          <w:szCs w:val="22"/>
        </w:rPr>
        <w:t xml:space="preserve">Every platform component falls into one of three categories:</w:t>
      </w:r>
    </w:p>
    <w:p>
      <w:pPr>
        <w:spacing w:after="100"/>
      </w:pPr>
    </w:p>
    <w:p>
      <w:pPr>
        <w:pStyle w:val="Heading2"/>
        <w:spacing w:after="120" w:before="280"/>
      </w:pPr>
      <w:r>
        <w:rPr>
          <w:rFonts w:ascii="Arial" w:cs="Arial" w:eastAsia="Arial" w:hAnsi="Arial"/>
          <w:b/>
          <w:bCs/>
          <w:color w:val="065A82"/>
          <w:sz w:val="28"/>
          <w:szCs w:val="28"/>
        </w:rPr>
        <w:t xml:space="preserve">2.1 BUILD — Core Differentiating Product Logic</w:t>
      </w:r>
    </w:p>
    <w:p>
      <w:pPr>
        <w:spacing w:after="140"/>
      </w:pPr>
      <w:r>
        <w:rPr>
          <w:rFonts w:ascii="Arial" w:cs="Arial" w:eastAsia="Arial" w:hAnsi="Arial"/>
          <w:color w:val="1E293B"/>
          <w:sz w:val="22"/>
          <w:szCs w:val="22"/>
        </w:rPr>
        <w:t xml:space="preserve">These are the features that form Dolphi's competitive moat. If we buy these, customers will use the underlying platform instead of Dolphi. Examples:</w:t>
      </w:r>
    </w:p>
    <w:p>
      <w:pPr>
        <w:pStyle w:val="ListParagraph"/>
        <w:numPr>
          <w:ilvl w:val="0"/>
          <w:numId w:val="2"/>
        </w:numPr>
        <w:spacing w:after="80"/>
      </w:pPr>
      <w:r>
        <w:rPr>
          <w:rFonts w:ascii="Arial" w:cs="Arial" w:eastAsia="Arial" w:hAnsi="Arial"/>
          <w:b w:val="false"/>
          <w:bCs w:val="false"/>
          <w:color w:val="1E293B"/>
          <w:sz w:val="22"/>
          <w:szCs w:val="22"/>
        </w:rPr>
        <w:t xml:space="preserve">Campaign Builder — multi-channel campaign creation, visual editor, drag-and-drop</w:t>
      </w:r>
    </w:p>
    <w:p>
      <w:pPr>
        <w:pStyle w:val="ListParagraph"/>
        <w:numPr>
          <w:ilvl w:val="0"/>
          <w:numId w:val="2"/>
        </w:numPr>
        <w:spacing w:after="80"/>
      </w:pPr>
      <w:r>
        <w:rPr>
          <w:rFonts w:ascii="Arial" w:cs="Arial" w:eastAsia="Arial" w:hAnsi="Arial"/>
          <w:b w:val="false"/>
          <w:bCs w:val="false"/>
          <w:color w:val="1E293B"/>
          <w:sz w:val="22"/>
          <w:szCs w:val="22"/>
        </w:rPr>
        <w:t xml:space="preserve">Campaign Tracker / Analytics — unified dashboard showing performance across all channels</w:t>
      </w:r>
    </w:p>
    <w:p>
      <w:pPr>
        <w:pStyle w:val="ListParagraph"/>
        <w:numPr>
          <w:ilvl w:val="0"/>
          <w:numId w:val="2"/>
        </w:numPr>
        <w:spacing w:after="80"/>
      </w:pPr>
      <w:r>
        <w:rPr>
          <w:rFonts w:ascii="Arial" w:cs="Arial" w:eastAsia="Arial" w:hAnsi="Arial"/>
          <w:b w:val="false"/>
          <w:bCs w:val="false"/>
          <w:color w:val="1E293B"/>
          <w:sz w:val="22"/>
          <w:szCs w:val="22"/>
        </w:rPr>
        <w:t xml:space="preserve">AI Orchestration Layer — brain of the platform; decides which AI model, retries on failure, caches results</w:t>
      </w:r>
    </w:p>
    <w:p>
      <w:pPr>
        <w:pStyle w:val="ListParagraph"/>
        <w:numPr>
          <w:ilvl w:val="0"/>
          <w:numId w:val="2"/>
        </w:numPr>
        <w:spacing w:after="80"/>
      </w:pPr>
      <w:r>
        <w:rPr>
          <w:rFonts w:ascii="Arial" w:cs="Arial" w:eastAsia="Arial" w:hAnsi="Arial"/>
          <w:b w:val="false"/>
          <w:bCs w:val="false"/>
          <w:color w:val="1E293B"/>
          <w:sz w:val="22"/>
          <w:szCs w:val="22"/>
        </w:rPr>
        <w:t xml:space="preserve">Multi-Channel Scheduler — smart scheduling across social, email, blog publishing</w:t>
      </w:r>
    </w:p>
    <w:p>
      <w:pPr>
        <w:pStyle w:val="ListParagraph"/>
        <w:numPr>
          <w:ilvl w:val="0"/>
          <w:numId w:val="2"/>
        </w:numPr>
        <w:spacing w:after="80"/>
      </w:pPr>
      <w:r>
        <w:rPr>
          <w:rFonts w:ascii="Arial" w:cs="Arial" w:eastAsia="Arial" w:hAnsi="Arial"/>
          <w:b w:val="false"/>
          <w:bCs w:val="false"/>
          <w:color w:val="1E293B"/>
          <w:sz w:val="22"/>
          <w:szCs w:val="22"/>
        </w:rPr>
        <w:t xml:space="preserve">Dashboard &amp; Reporting — customer-facing analytics and ROI tracking</w:t>
      </w:r>
    </w:p>
    <w:p>
      <w:pPr>
        <w:pStyle w:val="ListParagraph"/>
        <w:numPr>
          <w:ilvl w:val="0"/>
          <w:numId w:val="2"/>
        </w:numPr>
        <w:spacing w:after="80"/>
      </w:pPr>
      <w:r>
        <w:rPr>
          <w:rFonts w:ascii="Arial" w:cs="Arial" w:eastAsia="Arial" w:hAnsi="Arial"/>
          <w:b w:val="false"/>
          <w:bCs w:val="false"/>
          <w:color w:val="1E293B"/>
          <w:sz w:val="22"/>
          <w:szCs w:val="22"/>
        </w:rPr>
        <w:t xml:space="preserve">Content Editor — in-platform editor with AI suggestions and approval workflows</w:t>
      </w:r>
    </w:p>
    <w:p>
      <w:pPr>
        <w:spacing w:after="100"/>
      </w:pPr>
    </w:p>
    <w:p>
      <w:pPr>
        <w:pStyle w:val="Heading2"/>
        <w:spacing w:after="120" w:before="280"/>
      </w:pPr>
      <w:r>
        <w:rPr>
          <w:rFonts w:ascii="Arial" w:cs="Arial" w:eastAsia="Arial" w:hAnsi="Arial"/>
          <w:b/>
          <w:bCs/>
          <w:color w:val="065A82"/>
          <w:sz w:val="28"/>
          <w:szCs w:val="28"/>
        </w:rPr>
        <w:t xml:space="preserve">2.2 BUY — Third-Party SaaS or Managed Services</w:t>
      </w:r>
    </w:p>
    <w:p>
      <w:pPr>
        <w:spacing w:after="140"/>
      </w:pPr>
      <w:r>
        <w:rPr>
          <w:rFonts w:ascii="Arial" w:cs="Arial" w:eastAsia="Arial" w:hAnsi="Arial"/>
          <w:color w:val="1E293B"/>
          <w:sz w:val="22"/>
          <w:szCs w:val="22"/>
        </w:rPr>
        <w:t xml:space="preserve">Commodity infrastructure where building would take 12+ months and still be inferior. The cost to build exceeds the cost to buy by 10x+. Examples:</w:t>
      </w:r>
    </w:p>
    <w:p>
      <w:pPr>
        <w:pStyle w:val="ListParagraph"/>
        <w:numPr>
          <w:ilvl w:val="0"/>
          <w:numId w:val="2"/>
        </w:numPr>
        <w:spacing w:after="80"/>
      </w:pPr>
      <w:r>
        <w:rPr>
          <w:rFonts w:ascii="Arial" w:cs="Arial" w:eastAsia="Arial" w:hAnsi="Arial"/>
          <w:b w:val="false"/>
          <w:bCs w:val="false"/>
          <w:color w:val="1E293B"/>
          <w:sz w:val="22"/>
          <w:szCs w:val="22"/>
        </w:rPr>
        <w:t xml:space="preserve">Authentication &amp; SSO — Supabase Auth handles OAuth, MFA, SAML</w:t>
      </w:r>
    </w:p>
    <w:p>
      <w:pPr>
        <w:pStyle w:val="ListParagraph"/>
        <w:numPr>
          <w:ilvl w:val="0"/>
          <w:numId w:val="2"/>
        </w:numPr>
        <w:spacing w:after="80"/>
      </w:pPr>
      <w:r>
        <w:rPr>
          <w:rFonts w:ascii="Arial" w:cs="Arial" w:eastAsia="Arial" w:hAnsi="Arial"/>
          <w:b w:val="false"/>
          <w:bCs w:val="false"/>
          <w:color w:val="1E293B"/>
          <w:sz w:val="22"/>
          <w:szCs w:val="22"/>
        </w:rPr>
        <w:t xml:space="preserve">Payment Processing &amp; Billing — Stripe is PCI-compliant, impossible to replicate safely</w:t>
      </w:r>
    </w:p>
    <w:p>
      <w:pPr>
        <w:pStyle w:val="ListParagraph"/>
        <w:numPr>
          <w:ilvl w:val="0"/>
          <w:numId w:val="2"/>
        </w:numPr>
        <w:spacing w:after="80"/>
      </w:pPr>
      <w:r>
        <w:rPr>
          <w:rFonts w:ascii="Arial" w:cs="Arial" w:eastAsia="Arial" w:hAnsi="Arial"/>
          <w:b w:val="false"/>
          <w:bCs w:val="false"/>
          <w:color w:val="1E293B"/>
          <w:sz w:val="22"/>
          <w:szCs w:val="22"/>
        </w:rPr>
        <w:t xml:space="preserve">Email Delivery Infrastructure — Amazon SES delivers at 99.9% uptime; self-hosted would cost $500K+ to match</w:t>
      </w:r>
    </w:p>
    <w:p>
      <w:pPr>
        <w:pStyle w:val="ListParagraph"/>
        <w:numPr>
          <w:ilvl w:val="0"/>
          <w:numId w:val="2"/>
        </w:numPr>
        <w:spacing w:after="80"/>
      </w:pPr>
      <w:r>
        <w:rPr>
          <w:rFonts w:ascii="Arial" w:cs="Arial" w:eastAsia="Arial" w:hAnsi="Arial"/>
          <w:b w:val="false"/>
          <w:bCs w:val="false"/>
          <w:color w:val="1E293B"/>
          <w:sz w:val="22"/>
          <w:szCs w:val="22"/>
        </w:rPr>
        <w:t xml:space="preserve">Cloud Infrastructure — AWS with Australian data residency (ap-southeast-2)</w:t>
      </w:r>
    </w:p>
    <w:p>
      <w:pPr>
        <w:pStyle w:val="ListParagraph"/>
        <w:numPr>
          <w:ilvl w:val="0"/>
          <w:numId w:val="2"/>
        </w:numPr>
        <w:spacing w:after="80"/>
      </w:pPr>
      <w:r>
        <w:rPr>
          <w:rFonts w:ascii="Arial" w:cs="Arial" w:eastAsia="Arial" w:hAnsi="Arial"/>
          <w:b w:val="false"/>
          <w:bCs w:val="false"/>
          <w:color w:val="1E293B"/>
          <w:sz w:val="22"/>
          <w:szCs w:val="22"/>
        </w:rPr>
        <w:t xml:space="preserve">Database (managed PostgreSQL) — Aurora Serverless auto-scales without ops overhead</w:t>
      </w:r>
    </w:p>
    <w:p>
      <w:pPr>
        <w:pStyle w:val="ListParagraph"/>
        <w:numPr>
          <w:ilvl w:val="0"/>
          <w:numId w:val="2"/>
        </w:numPr>
        <w:spacing w:after="80"/>
      </w:pPr>
      <w:r>
        <w:rPr>
          <w:rFonts w:ascii="Arial" w:cs="Arial" w:eastAsia="Arial" w:hAnsi="Arial"/>
          <w:b w:val="false"/>
          <w:bCs w:val="false"/>
          <w:color w:val="1E293B"/>
          <w:sz w:val="22"/>
          <w:szCs w:val="22"/>
        </w:rPr>
        <w:t xml:space="preserve">CDN — CloudFront gives us global edge locations</w:t>
      </w:r>
    </w:p>
    <w:p>
      <w:pPr>
        <w:pStyle w:val="ListParagraph"/>
        <w:numPr>
          <w:ilvl w:val="0"/>
          <w:numId w:val="2"/>
        </w:numPr>
        <w:spacing w:after="80"/>
      </w:pPr>
      <w:r>
        <w:rPr>
          <w:rFonts w:ascii="Arial" w:cs="Arial" w:eastAsia="Arial" w:hAnsi="Arial"/>
          <w:b w:val="false"/>
          <w:bCs w:val="false"/>
          <w:color w:val="1E293B"/>
          <w:sz w:val="22"/>
          <w:szCs w:val="22"/>
        </w:rPr>
        <w:t xml:space="preserve">Cache / Sessions — AWS ElastiCache Redis for performance</w:t>
      </w:r>
    </w:p>
    <w:p>
      <w:pPr>
        <w:spacing w:after="100"/>
      </w:pPr>
    </w:p>
    <w:p>
      <w:pPr>
        <w:pStyle w:val="Heading2"/>
        <w:spacing w:after="120" w:before="280"/>
      </w:pPr>
      <w:r>
        <w:rPr>
          <w:rFonts w:ascii="Arial" w:cs="Arial" w:eastAsia="Arial" w:hAnsi="Arial"/>
          <w:b/>
          <w:bCs/>
          <w:color w:val="065A82"/>
          <w:sz w:val="28"/>
          <w:szCs w:val="28"/>
        </w:rPr>
        <w:t xml:space="preserve">2.3 BUILD ON TOP OF — Use API, Build Integration</w:t>
      </w:r>
    </w:p>
    <w:p>
      <w:pPr>
        <w:spacing w:after="140"/>
      </w:pPr>
      <w:r>
        <w:rPr>
          <w:rFonts w:ascii="Arial" w:cs="Arial" w:eastAsia="Arial" w:hAnsi="Arial"/>
          <w:color w:val="1E293B"/>
          <w:sz w:val="22"/>
          <w:szCs w:val="22"/>
        </w:rPr>
        <w:t xml:space="preserve">Third-party APIs exist and are stable, but we add our own layer for differentiation. We own the integration, business logic, and customer experience. Examples:</w:t>
      </w:r>
    </w:p>
    <w:p>
      <w:pPr>
        <w:pStyle w:val="ListParagraph"/>
        <w:numPr>
          <w:ilvl w:val="0"/>
          <w:numId w:val="2"/>
        </w:numPr>
        <w:spacing w:after="80"/>
      </w:pPr>
      <w:r>
        <w:rPr>
          <w:rFonts w:ascii="Arial" w:cs="Arial" w:eastAsia="Arial" w:hAnsi="Arial"/>
          <w:b w:val="false"/>
          <w:bCs w:val="false"/>
          <w:color w:val="1E293B"/>
          <w:sz w:val="22"/>
          <w:szCs w:val="22"/>
        </w:rPr>
        <w:t xml:space="preserve">Social Media APIs (Meta, TikTok, LinkedIn) — APIs exist but we build the scheduler and abstraction layer</w:t>
      </w:r>
    </w:p>
    <w:p>
      <w:pPr>
        <w:pStyle w:val="ListParagraph"/>
        <w:numPr>
          <w:ilvl w:val="0"/>
          <w:numId w:val="2"/>
        </w:numPr>
        <w:spacing w:after="80"/>
      </w:pPr>
      <w:r>
        <w:rPr>
          <w:rFonts w:ascii="Arial" w:cs="Arial" w:eastAsia="Arial" w:hAnsi="Arial"/>
          <w:b w:val="false"/>
          <w:bCs w:val="false"/>
          <w:color w:val="1E293B"/>
          <w:sz w:val="22"/>
          <w:szCs w:val="22"/>
        </w:rPr>
        <w:t xml:space="preserve">Accounting APIs (Xero, MYOB, QB) — APIs exist but we build the sync engine and data attribution</w:t>
      </w:r>
    </w:p>
    <w:p>
      <w:pPr>
        <w:pStyle w:val="ListParagraph"/>
        <w:numPr>
          <w:ilvl w:val="0"/>
          <w:numId w:val="2"/>
        </w:numPr>
        <w:spacing w:after="80"/>
      </w:pPr>
      <w:r>
        <w:rPr>
          <w:rFonts w:ascii="Arial" w:cs="Arial" w:eastAsia="Arial" w:hAnsi="Arial"/>
          <w:b w:val="false"/>
          <w:bCs w:val="false"/>
          <w:color w:val="1E293B"/>
          <w:sz w:val="22"/>
          <w:szCs w:val="22"/>
        </w:rPr>
        <w:t xml:space="preserve">AI Language Models (Anthropic Claude, OpenAI GPT-4o) — models exist but we build orchestration layer that swaps models, retries, and optimizes cost</w:t>
      </w:r>
    </w:p>
    <w:p>
      <w:pPr>
        <w:pStyle w:val="ListParagraph"/>
        <w:numPr>
          <w:ilvl w:val="0"/>
          <w:numId w:val="2"/>
        </w:numPr>
        <w:spacing w:after="80"/>
      </w:pPr>
      <w:r>
        <w:rPr>
          <w:rFonts w:ascii="Arial" w:cs="Arial" w:eastAsia="Arial" w:hAnsi="Arial"/>
          <w:b w:val="false"/>
          <w:bCs w:val="false"/>
          <w:color w:val="1E293B"/>
          <w:sz w:val="22"/>
          <w:szCs w:val="22"/>
        </w:rPr>
        <w:t xml:space="preserve">Google Ads &amp; Meta Ads APIs — free to use but we build campaign creation and reporting sync</w:t>
      </w:r>
    </w:p>
    <w:p>
      <w:pPr>
        <w:spacing w:after="100"/>
      </w:pPr>
    </w:p>
    <w:p>
      <w:pPr>
        <w:pStyle w:val="Heading1"/>
        <w:pageBreakBefore/>
      </w:pPr>
      <w:r>
        <w:rPr>
          <w:rFonts w:ascii="Arial" w:cs="Arial" w:eastAsia="Arial" w:hAnsi="Arial"/>
          <w:b/>
          <w:bCs/>
          <w:color w:val="0D2B3E"/>
          <w:sz w:val="36"/>
          <w:szCs w:val="36"/>
        </w:rPr>
        <w:t xml:space="preserve">3. Full Platform Component Analysis</w:t>
      </w:r>
    </w:p>
    <w:p>
      <w:pPr>
        <w:spacing w:after="140"/>
      </w:pPr>
      <w:r>
        <w:rPr>
          <w:rFonts w:ascii="Arial" w:cs="Arial" w:eastAsia="Arial" w:hAnsi="Arial"/>
          <w:color w:val="1E293B"/>
          <w:sz w:val="22"/>
          <w:szCs w:val="22"/>
        </w:rPr>
        <w:t xml:space="preserve">The table below evaluates all major components and external services needed to run Dolphi:</w:t>
      </w:r>
    </w:p>
    <w:p>
      <w:pPr>
        <w:spacing w:after="100"/>
      </w:pP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600"/>
        <w:gridCol w:w="2400"/>
        <w:gridCol w:w="1400"/>
      </w:tblGrid>
      <w:tr>
        <w:trPr>
          <w:tblHeader/>
        </w:trPr>
        <w:tc>
          <w:tcPr>
            <w:tcBorders>
              <w:top w:val="single" w:color="D1E8F0" w:sz="1"/>
              <w:left w:val="single" w:color="D1E8F0" w:sz="1"/>
              <w:bottom w:val="single" w:color="D1E8F0" w:sz="1"/>
              <w:right w:val="single" w:color="D1E8F0" w:sz="1"/>
            </w:tcBorders>
            <w:shd w:fill="065A8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Borders>
              <w:top w:val="single" w:color="D1E8F0" w:sz="1"/>
              <w:left w:val="single" w:color="D1E8F0" w:sz="1"/>
              <w:bottom w:val="single" w:color="D1E8F0" w:sz="1"/>
              <w:right w:val="single" w:color="D1E8F0" w:sz="1"/>
            </w:tcBorders>
            <w:shd w:fill="065A8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Decision</w:t>
            </w:r>
          </w:p>
        </w:tc>
        <w:tc>
          <w:tcPr>
            <w:tcBorders>
              <w:top w:val="single" w:color="D1E8F0" w:sz="1"/>
              <w:left w:val="single" w:color="D1E8F0" w:sz="1"/>
              <w:bottom w:val="single" w:color="D1E8F0" w:sz="1"/>
              <w:right w:val="single" w:color="D1E8F0" w:sz="1"/>
            </w:tcBorders>
            <w:shd w:fill="065A8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Provider</w:t>
            </w:r>
          </w:p>
        </w:tc>
        <w:tc>
          <w:tcPr>
            <w:tcBorders>
              <w:top w:val="single" w:color="D1E8F0" w:sz="1"/>
              <w:left w:val="single" w:color="D1E8F0" w:sz="1"/>
              <w:bottom w:val="single" w:color="D1E8F0" w:sz="1"/>
              <w:right w:val="single" w:color="D1E8F0" w:sz="1"/>
            </w:tcBorders>
            <w:shd w:fill="065A8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c>
          <w:tcPr>
            <w:tcBorders>
              <w:top w:val="single" w:color="D1E8F0" w:sz="1"/>
              <w:left w:val="single" w:color="D1E8F0" w:sz="1"/>
              <w:bottom w:val="single" w:color="D1E8F0" w:sz="1"/>
              <w:right w:val="single" w:color="D1E8F0" w:sz="1"/>
            </w:tcBorders>
            <w:shd w:fill="065A8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 Cost (10K tenants)/mo</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Campaign Builder &amp; Logic</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BUILD</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React + Node.js</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Core product moat — must own</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Dev cost</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Campaign Tracker / Analytics</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BUILD</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Node.js + PostgreSQL + Recharts</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Core product moat</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Dev cost</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AI Content Orchestration</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BUILD</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Python FastAPI wrapper</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Orchestrates multiple AI APIs, adds retry/fallback logic</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Dev cost</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AI Language Models</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BUY</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Anthropic Claude API + OpenAI GPT-4o</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SOTA models, impossible to replicate in-house</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$4,800</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Frontend Framework</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BUILD</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React 18 + TypeScript + Tailwind</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Standard choice, no viable alternative</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Dev cost</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Authentication &amp; SSO</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BUY</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Supabase Auth</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MFA, OAuth, magic links, SAML — 12+ months to build</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$500</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Payments &amp; Billing</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BUY</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Stripe Billing</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PCI-DSS, retry logic, dunning — impossible to build safely</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$850</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Cloud Infrastructure</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BUY</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AWS ap-southeast-2 (Sydney)</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Best-in-class, Australian data residency</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$12,500</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Email Delivery</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BUY</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Amazon SES + SendGrid fallback</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99.9% deliverability, self-hosted impossible</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$500</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Database (managed)</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BUY</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AWS Aurora PostgreSQL Serverless v2</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Managed, serverless scaling, automatic backups</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Included in AWS</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Cache / Sessions</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BUY</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AWS ElastiCache Redis</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Managed Redis, automatic failover</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$960</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Job Queue</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BUY</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Amazon SQS + Bull</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Guaranteed delivery, dead-letter queues</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$400</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File Storage &amp; CDN</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BUY</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Amazon S3 + CloudFront</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Industry standard, $0.023/GB/mo</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$620</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SEO Keywords &amp; Data</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BUY</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DataForSEO API + Google Search Console</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18M+ AU keywords, impossible to build</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$800</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Social Media APIs</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BUILD-ON-TOP</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Meta Graph API + LinkedIn + TikTok + Google Business</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APIs free, we build scheduler + abstraction</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$0 API + dev</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Accounting Integrations</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BUILD-ON-TOP</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Xero API + MYOB API + QuickBooks API</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APIs free, we build sync engine + attribution</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$0 API + dev</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Google Ads Integration</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BUILD-ON-TOP</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Google Ads API</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Free to use, we build campaign creation + sync</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$0 + dev</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Meta Ads Integration</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BUILD-ON-TOP</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Meta Marketing API</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Free to use, we build ad builder + reporting</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$0 + dev</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Error Tracking</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BUY</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Sentry</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Best-in-class, 10 min to integrate, free tier available</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$180</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Observability / APM</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BUY</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Datadog</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Metrics, traces, logs in one platform</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$800</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Customer Support</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BUY</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Intercom or Crisp</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In-app support, knowledge base, onboarding</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$400</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Internal CRM</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BUY</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HubSpot (free tier)</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Dolphi's own sales CRM for B2B sales</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$0–$200</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DNS &amp; Domains</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BUY</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AWS Route 53 + Cloudflare</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Managed DNS, DDoS protection</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$50</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SMS Marketing</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BUILD-ON-TOP</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Twilio or MessageBird API</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API + we build campaign flow integration</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$300 + usage</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Push Notifications</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BUY</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Firebase Cloud Messaging (FCM)</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Free at scale, mobile + web push</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$0</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Video/Image Generation</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BUY</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Stability AI API / DALL-E API</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Image gen for campaigns, cost-effective</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$200</w:t>
            </w:r>
          </w:p>
        </w:tc>
      </w:tr>
    </w:tbl>
    <w:p>
      <w:pPr>
        <w:spacing w:after="100"/>
      </w:pPr>
    </w:p>
    <w:p>
      <w:pPr>
        <w:spacing w:after="140"/>
      </w:pPr>
      <w:r>
        <w:rPr>
          <w:rFonts w:ascii="Arial" w:cs="Arial" w:eastAsia="Arial" w:hAnsi="Arial"/>
          <w:b/>
          <w:bCs/>
          <w:color w:val="1E293B"/>
          <w:sz w:val="22"/>
          <w:szCs w:val="22"/>
        </w:rPr>
        <w:t xml:space="preserve">Total estimated monthly platform cost (excluding development salaries): $24,260 AUD/month at 10,000 tenants.</w:t>
      </w:r>
    </w:p>
    <w:p>
      <w:pPr>
        <w:spacing w:after="100"/>
      </w:pPr>
    </w:p>
    <w:p>
      <w:pPr>
        <w:pStyle w:val="Heading1"/>
        <w:pageBreakBefore/>
      </w:pPr>
      <w:r>
        <w:rPr>
          <w:rFonts w:ascii="Arial" w:cs="Arial" w:eastAsia="Arial" w:hAnsi="Arial"/>
          <w:b/>
          <w:bCs/>
          <w:color w:val="0D2B3E"/>
          <w:sz w:val="36"/>
          <w:szCs w:val="36"/>
        </w:rPr>
        <w:t xml:space="preserve">4. Highest-Risk Build Decisions</w:t>
      </w:r>
    </w:p>
    <w:p>
      <w:pPr>
        <w:spacing w:after="140"/>
      </w:pPr>
      <w:r>
        <w:rPr>
          <w:rFonts w:ascii="Arial" w:cs="Arial" w:eastAsia="Arial" w:hAnsi="Arial"/>
          <w:color w:val="1E293B"/>
          <w:sz w:val="22"/>
          <w:szCs w:val="22"/>
        </w:rPr>
        <w:t xml:space="preserve">Three components we're building carry elevated risk. Here's how we mitigate:</w:t>
      </w:r>
    </w:p>
    <w:p>
      <w:pPr>
        <w:spacing w:after="100"/>
      </w:pPr>
    </w:p>
    <w:p>
      <w:pPr>
        <w:pStyle w:val="Heading2"/>
        <w:spacing w:after="120" w:before="280"/>
      </w:pPr>
      <w:r>
        <w:rPr>
          <w:rFonts w:ascii="Arial" w:cs="Arial" w:eastAsia="Arial" w:hAnsi="Arial"/>
          <w:b/>
          <w:bCs/>
          <w:color w:val="065A82"/>
          <w:sz w:val="28"/>
          <w:szCs w:val="28"/>
        </w:rPr>
        <w:t xml:space="preserve">4.1 Google Ads &amp; Meta Ads Integration (HIGH Risk)</w:t>
      </w:r>
    </w:p>
    <w:p>
      <w:pPr>
        <w:pStyle w:val="Heading3"/>
        <w:spacing w:after="80" w:before="200"/>
      </w:pPr>
      <w:r>
        <w:rPr>
          <w:rFonts w:ascii="Arial" w:cs="Arial" w:eastAsia="Arial" w:hAnsi="Arial"/>
          <w:b/>
          <w:bCs/>
          <w:color w:val="00A896"/>
          <w:sz w:val="24"/>
          <w:szCs w:val="24"/>
        </w:rPr>
        <w:t xml:space="preserve">Why High Risk</w:t>
      </w:r>
    </w:p>
    <w:p>
      <w:pPr>
        <w:pStyle w:val="ListParagraph"/>
        <w:numPr>
          <w:ilvl w:val="0"/>
          <w:numId w:val="2"/>
        </w:numPr>
        <w:spacing w:after="80"/>
      </w:pPr>
      <w:r>
        <w:rPr>
          <w:rFonts w:ascii="Arial" w:cs="Arial" w:eastAsia="Arial" w:hAnsi="Arial"/>
          <w:b w:val="false"/>
          <w:bCs w:val="false"/>
          <w:color w:val="1E293B"/>
          <w:sz w:val="22"/>
          <w:szCs w:val="22"/>
        </w:rPr>
        <w:t xml:space="preserve">API policy changes without notice — Meta and Google frequently update their API rules</w:t>
      </w:r>
    </w:p>
    <w:p>
      <w:pPr>
        <w:pStyle w:val="ListParagraph"/>
        <w:numPr>
          <w:ilvl w:val="0"/>
          <w:numId w:val="2"/>
        </w:numPr>
        <w:spacing w:after="80"/>
      </w:pPr>
      <w:r>
        <w:rPr>
          <w:rFonts w:ascii="Arial" w:cs="Arial" w:eastAsia="Arial" w:hAnsi="Arial"/>
          <w:b w:val="false"/>
          <w:bCs w:val="false"/>
          <w:color w:val="1E293B"/>
          <w:sz w:val="22"/>
          <w:szCs w:val="22"/>
        </w:rPr>
        <w:t xml:space="preserve">Account suspension risk — policy violations can lock out users without warning</w:t>
      </w:r>
    </w:p>
    <w:p>
      <w:pPr>
        <w:pStyle w:val="ListParagraph"/>
        <w:numPr>
          <w:ilvl w:val="0"/>
          <w:numId w:val="2"/>
        </w:numPr>
        <w:spacing w:after="80"/>
      </w:pPr>
      <w:r>
        <w:rPr>
          <w:rFonts w:ascii="Arial" w:cs="Arial" w:eastAsia="Arial" w:hAnsi="Arial"/>
          <w:b w:val="false"/>
          <w:bCs w:val="false"/>
          <w:color w:val="1E293B"/>
          <w:sz w:val="22"/>
          <w:szCs w:val="22"/>
        </w:rPr>
        <w:t xml:space="preserve">Approval delays — new API access requires application to both platforms</w:t>
      </w:r>
    </w:p>
    <w:p>
      <w:pPr>
        <w:pStyle w:val="ListParagraph"/>
        <w:numPr>
          <w:ilvl w:val="0"/>
          <w:numId w:val="2"/>
        </w:numPr>
        <w:spacing w:after="80"/>
      </w:pPr>
      <w:r>
        <w:rPr>
          <w:rFonts w:ascii="Arial" w:cs="Arial" w:eastAsia="Arial" w:hAnsi="Arial"/>
          <w:b w:val="false"/>
          <w:bCs w:val="false"/>
          <w:color w:val="1E293B"/>
          <w:sz w:val="22"/>
          <w:szCs w:val="22"/>
        </w:rPr>
        <w:t xml:space="preserve">Regulatory uncertainty — Meta faces potential bans in some jurisdictions</w:t>
      </w:r>
    </w:p>
    <w:p>
      <w:pPr>
        <w:spacing w:after="100"/>
      </w:pPr>
    </w:p>
    <w:p>
      <w:pPr>
        <w:pStyle w:val="Heading3"/>
        <w:spacing w:after="80" w:before="200"/>
      </w:pPr>
      <w:r>
        <w:rPr>
          <w:rFonts w:ascii="Arial" w:cs="Arial" w:eastAsia="Arial" w:hAnsi="Arial"/>
          <w:b/>
          <w:bCs/>
          <w:color w:val="00A896"/>
          <w:sz w:val="24"/>
          <w:szCs w:val="24"/>
        </w:rPr>
        <w:t xml:space="preserve">Mitigation Strategy</w:t>
      </w:r>
    </w:p>
    <w:p>
      <w:pPr>
        <w:pStyle w:val="ListParagraph"/>
        <w:numPr>
          <w:ilvl w:val="0"/>
          <w:numId w:val="2"/>
        </w:numPr>
        <w:spacing w:after="80"/>
      </w:pPr>
      <w:r>
        <w:rPr>
          <w:rFonts w:ascii="Arial" w:cs="Arial" w:eastAsia="Arial" w:hAnsi="Arial"/>
          <w:b w:val="false"/>
          <w:bCs w:val="false"/>
          <w:color w:val="1E293B"/>
          <w:sz w:val="22"/>
          <w:szCs w:val="22"/>
        </w:rPr>
        <w:t xml:space="preserve">Use official Marketing Partner program certifications (not just basic API access)</w:t>
      </w:r>
    </w:p>
    <w:p>
      <w:pPr>
        <w:pStyle w:val="ListParagraph"/>
        <w:numPr>
          <w:ilvl w:val="0"/>
          <w:numId w:val="2"/>
        </w:numPr>
        <w:spacing w:after="80"/>
      </w:pPr>
      <w:r>
        <w:rPr>
          <w:rFonts w:ascii="Arial" w:cs="Arial" w:eastAsia="Arial" w:hAnsi="Arial"/>
          <w:b w:val="false"/>
          <w:bCs w:val="false"/>
          <w:color w:val="1E293B"/>
          <w:sz w:val="22"/>
          <w:szCs w:val="22"/>
        </w:rPr>
        <w:t xml:space="preserve">Implement strict ad policy checking before submission (detect violations pre-publish)</w:t>
      </w:r>
    </w:p>
    <w:p>
      <w:pPr>
        <w:pStyle w:val="ListParagraph"/>
        <w:numPr>
          <w:ilvl w:val="0"/>
          <w:numId w:val="2"/>
        </w:numPr>
        <w:spacing w:after="80"/>
      </w:pPr>
      <w:r>
        <w:rPr>
          <w:rFonts w:ascii="Arial" w:cs="Arial" w:eastAsia="Arial" w:hAnsi="Arial"/>
          <w:b w:val="false"/>
          <w:bCs w:val="false"/>
          <w:color w:val="1E293B"/>
          <w:sz w:val="22"/>
          <w:szCs w:val="22"/>
        </w:rPr>
        <w:t xml:space="preserve">Build abstraction layer so we can swap providers without changing business logic</w:t>
      </w:r>
    </w:p>
    <w:p>
      <w:pPr>
        <w:pStyle w:val="ListParagraph"/>
        <w:numPr>
          <w:ilvl w:val="0"/>
          <w:numId w:val="2"/>
        </w:numPr>
        <w:spacing w:after="80"/>
      </w:pPr>
      <w:r>
        <w:rPr>
          <w:rFonts w:ascii="Arial" w:cs="Arial" w:eastAsia="Arial" w:hAnsi="Arial"/>
          <w:b w:val="false"/>
          <w:bCs w:val="false"/>
          <w:color w:val="1E293B"/>
          <w:sz w:val="22"/>
          <w:szCs w:val="22"/>
        </w:rPr>
        <w:t xml:space="preserve">Rate-limit API calls to stay under thresholds; queue-based architecture for retries</w:t>
      </w:r>
    </w:p>
    <w:p>
      <w:pPr>
        <w:pStyle w:val="ListParagraph"/>
        <w:numPr>
          <w:ilvl w:val="0"/>
          <w:numId w:val="2"/>
        </w:numPr>
        <w:spacing w:after="80"/>
      </w:pPr>
      <w:r>
        <w:rPr>
          <w:rFonts w:ascii="Arial" w:cs="Arial" w:eastAsia="Arial" w:hAnsi="Arial"/>
          <w:b w:val="false"/>
          <w:bCs w:val="false"/>
          <w:color w:val="1E293B"/>
          <w:sz w:val="22"/>
          <w:szCs w:val="22"/>
        </w:rPr>
        <w:t xml:space="preserve">Daily automated integration tests to detect API changes immediately</w:t>
      </w:r>
    </w:p>
    <w:p>
      <w:pPr>
        <w:spacing w:after="100"/>
      </w:pPr>
    </w:p>
    <w:p>
      <w:pPr>
        <w:pStyle w:val="Heading3"/>
        <w:spacing w:after="80" w:before="200"/>
      </w:pPr>
      <w:r>
        <w:rPr>
          <w:rFonts w:ascii="Arial" w:cs="Arial" w:eastAsia="Arial" w:hAnsi="Arial"/>
          <w:b/>
          <w:bCs/>
          <w:color w:val="00A896"/>
          <w:sz w:val="24"/>
          <w:szCs w:val="24"/>
        </w:rPr>
        <w:t xml:space="preserve">Fallback Plan</w:t>
      </w:r>
    </w:p>
    <w:p>
      <w:pPr>
        <w:pStyle w:val="ListParagraph"/>
        <w:numPr>
          <w:ilvl w:val="0"/>
          <w:numId w:val="2"/>
        </w:numPr>
        <w:spacing w:after="80"/>
      </w:pPr>
      <w:r>
        <w:rPr>
          <w:rFonts w:ascii="Arial" w:cs="Arial" w:eastAsia="Arial" w:hAnsi="Arial"/>
          <w:b w:val="false"/>
          <w:bCs w:val="false"/>
          <w:color w:val="1E293B"/>
          <w:sz w:val="22"/>
          <w:szCs w:val="22"/>
        </w:rPr>
        <w:t xml:space="preserve">Partner with existing ad management platform (e.g., Adzooma) as interim solution while building custom integration</w:t>
      </w:r>
    </w:p>
    <w:p>
      <w:pPr>
        <w:pStyle w:val="ListParagraph"/>
        <w:numPr>
          <w:ilvl w:val="0"/>
          <w:numId w:val="2"/>
        </w:numPr>
        <w:spacing w:after="80"/>
      </w:pPr>
      <w:r>
        <w:rPr>
          <w:rFonts w:ascii="Arial" w:cs="Arial" w:eastAsia="Arial" w:hAnsi="Arial"/>
          <w:b w:val="false"/>
          <w:bCs w:val="false"/>
          <w:color w:val="1E293B"/>
          <w:sz w:val="22"/>
          <w:szCs w:val="22"/>
        </w:rPr>
        <w:t xml:space="preserve">Graceful degradation: if Meta API goes down, queue posts for manual publication</w:t>
      </w:r>
    </w:p>
    <w:p>
      <w:pPr>
        <w:spacing w:after="100"/>
      </w:pPr>
    </w:p>
    <w:p>
      <w:pPr>
        <w:pStyle w:val="Heading2"/>
        <w:spacing w:after="120" w:before="280"/>
      </w:pPr>
      <w:r>
        <w:rPr>
          <w:rFonts w:ascii="Arial" w:cs="Arial" w:eastAsia="Arial" w:hAnsi="Arial"/>
          <w:b/>
          <w:bCs/>
          <w:color w:val="065A82"/>
          <w:sz w:val="28"/>
          <w:szCs w:val="28"/>
        </w:rPr>
        <w:t xml:space="preserve">4.2 AI Content Quality (MEDIUM Risk)</w:t>
      </w:r>
    </w:p>
    <w:p>
      <w:pPr>
        <w:pStyle w:val="Heading3"/>
        <w:spacing w:after="80" w:before="200"/>
      </w:pPr>
      <w:r>
        <w:rPr>
          <w:rFonts w:ascii="Arial" w:cs="Arial" w:eastAsia="Arial" w:hAnsi="Arial"/>
          <w:b/>
          <w:bCs/>
          <w:color w:val="00A896"/>
          <w:sz w:val="24"/>
          <w:szCs w:val="24"/>
        </w:rPr>
        <w:t xml:space="preserve">Why Medium Risk</w:t>
      </w:r>
    </w:p>
    <w:p>
      <w:pPr>
        <w:pStyle w:val="ListParagraph"/>
        <w:numPr>
          <w:ilvl w:val="0"/>
          <w:numId w:val="2"/>
        </w:numPr>
        <w:spacing w:after="80"/>
      </w:pPr>
      <w:r>
        <w:rPr>
          <w:rFonts w:ascii="Arial" w:cs="Arial" w:eastAsia="Arial" w:hAnsi="Arial"/>
          <w:b w:val="false"/>
          <w:bCs w:val="false"/>
          <w:color w:val="1E293B"/>
          <w:sz w:val="22"/>
          <w:szCs w:val="22"/>
        </w:rPr>
        <w:t xml:space="preserve">AI model quality varies and evolves — OpenAI, Anthropic release new models frequently</w:t>
      </w:r>
    </w:p>
    <w:p>
      <w:pPr>
        <w:pStyle w:val="ListParagraph"/>
        <w:numPr>
          <w:ilvl w:val="0"/>
          <w:numId w:val="2"/>
        </w:numPr>
        <w:spacing w:after="80"/>
      </w:pPr>
      <w:r>
        <w:rPr>
          <w:rFonts w:ascii="Arial" w:cs="Arial" w:eastAsia="Arial" w:hAnsi="Arial"/>
          <w:b w:val="false"/>
          <w:bCs w:val="false"/>
          <w:color w:val="1E293B"/>
          <w:sz w:val="22"/>
          <w:szCs w:val="22"/>
        </w:rPr>
        <w:t xml:space="preserve">Competitor advantage — a competitor might offer better models (e.g., Gemini 2.0)</w:t>
      </w:r>
    </w:p>
    <w:p>
      <w:pPr>
        <w:pStyle w:val="ListParagraph"/>
        <w:numPr>
          <w:ilvl w:val="0"/>
          <w:numId w:val="2"/>
        </w:numPr>
        <w:spacing w:after="80"/>
      </w:pPr>
      <w:r>
        <w:rPr>
          <w:rFonts w:ascii="Arial" w:cs="Arial" w:eastAsia="Arial" w:hAnsi="Arial"/>
          <w:b w:val="false"/>
          <w:bCs w:val="false"/>
          <w:color w:val="1E293B"/>
          <w:sz w:val="22"/>
          <w:szCs w:val="22"/>
        </w:rPr>
        <w:t xml:space="preserve">Model moat erodes quickly — AI is commoditizing rapidly</w:t>
      </w:r>
    </w:p>
    <w:p>
      <w:pPr>
        <w:spacing w:after="100"/>
      </w:pPr>
    </w:p>
    <w:p>
      <w:pPr>
        <w:pStyle w:val="Heading3"/>
        <w:spacing w:after="80" w:before="200"/>
      </w:pPr>
      <w:r>
        <w:rPr>
          <w:rFonts w:ascii="Arial" w:cs="Arial" w:eastAsia="Arial" w:hAnsi="Arial"/>
          <w:b/>
          <w:bCs/>
          <w:color w:val="00A896"/>
          <w:sz w:val="24"/>
          <w:szCs w:val="24"/>
        </w:rPr>
        <w:t xml:space="preserve">Mitigation Strategy</w:t>
      </w:r>
    </w:p>
    <w:p>
      <w:pPr>
        <w:pStyle w:val="ListParagraph"/>
        <w:numPr>
          <w:ilvl w:val="0"/>
          <w:numId w:val="2"/>
        </w:numPr>
        <w:spacing w:after="80"/>
      </w:pPr>
      <w:r>
        <w:rPr>
          <w:rFonts w:ascii="Arial" w:cs="Arial" w:eastAsia="Arial" w:hAnsi="Arial"/>
          <w:b w:val="false"/>
          <w:bCs w:val="false"/>
          <w:color w:val="1E293B"/>
          <w:sz w:val="22"/>
          <w:szCs w:val="22"/>
        </w:rPr>
        <w:t xml:space="preserve">Model-agnostic orchestration layer: allows swapping Claude/GPT-4o without changing business logic</w:t>
      </w:r>
    </w:p>
    <w:p>
      <w:pPr>
        <w:pStyle w:val="ListParagraph"/>
        <w:numPr>
          <w:ilvl w:val="0"/>
          <w:numId w:val="2"/>
        </w:numPr>
        <w:spacing w:after="80"/>
      </w:pPr>
      <w:r>
        <w:rPr>
          <w:rFonts w:ascii="Arial" w:cs="Arial" w:eastAsia="Arial" w:hAnsi="Arial"/>
          <w:b w:val="false"/>
          <w:bCs w:val="false"/>
          <w:color w:val="1E293B"/>
          <w:sz w:val="22"/>
          <w:szCs w:val="22"/>
        </w:rPr>
        <w:t xml:space="preserve">Multi-model strategy: use Claude 3.5 Sonnet for long-form (blogs, emails); GPT-4o for short-form (social, ads)</w:t>
      </w:r>
    </w:p>
    <w:p>
      <w:pPr>
        <w:pStyle w:val="ListParagraph"/>
        <w:numPr>
          <w:ilvl w:val="0"/>
          <w:numId w:val="2"/>
        </w:numPr>
        <w:spacing w:after="80"/>
      </w:pPr>
      <w:r>
        <w:rPr>
          <w:rFonts w:ascii="Arial" w:cs="Arial" w:eastAsia="Arial" w:hAnsi="Arial"/>
          <w:b w:val="false"/>
          <w:bCs w:val="false"/>
          <w:color w:val="1E293B"/>
          <w:sz w:val="22"/>
          <w:szCs w:val="22"/>
        </w:rPr>
        <w:t xml:space="preserve">Cache generated content aggressively to reduce API calls (lower cost, faster iteration)</w:t>
      </w:r>
    </w:p>
    <w:p>
      <w:pPr>
        <w:pStyle w:val="ListParagraph"/>
        <w:numPr>
          <w:ilvl w:val="0"/>
          <w:numId w:val="2"/>
        </w:numPr>
        <w:spacing w:after="80"/>
      </w:pPr>
      <w:r>
        <w:rPr>
          <w:rFonts w:ascii="Arial" w:cs="Arial" w:eastAsia="Arial" w:hAnsi="Arial"/>
          <w:b w:val="false"/>
          <w:bCs w:val="false"/>
          <w:color w:val="1E293B"/>
          <w:sz w:val="22"/>
          <w:szCs w:val="22"/>
        </w:rPr>
        <w:t xml:space="preserve">A/B test content quality across models; measure customer satisfaction metrics</w:t>
      </w:r>
    </w:p>
    <w:p>
      <w:pPr>
        <w:pStyle w:val="ListParagraph"/>
        <w:numPr>
          <w:ilvl w:val="0"/>
          <w:numId w:val="2"/>
        </w:numPr>
        <w:spacing w:after="80"/>
      </w:pPr>
      <w:r>
        <w:rPr>
          <w:rFonts w:ascii="Arial" w:cs="Arial" w:eastAsia="Arial" w:hAnsi="Arial"/>
          <w:b w:val="false"/>
          <w:bCs w:val="false"/>
          <w:color w:val="1E293B"/>
          <w:sz w:val="22"/>
          <w:szCs w:val="22"/>
        </w:rPr>
        <w:t xml:space="preserve">Always show human-editable output; never auto-publish without customer review</w:t>
      </w:r>
    </w:p>
    <w:p>
      <w:pPr>
        <w:spacing w:after="100"/>
      </w:pPr>
    </w:p>
    <w:p>
      <w:pPr>
        <w:pStyle w:val="Heading3"/>
        <w:spacing w:after="80" w:before="200"/>
      </w:pPr>
      <w:r>
        <w:rPr>
          <w:rFonts w:ascii="Arial" w:cs="Arial" w:eastAsia="Arial" w:hAnsi="Arial"/>
          <w:b/>
          <w:bCs/>
          <w:color w:val="00A896"/>
          <w:sz w:val="24"/>
          <w:szCs w:val="24"/>
        </w:rPr>
        <w:t xml:space="preserve">Fallback Plan</w:t>
      </w:r>
    </w:p>
    <w:p>
      <w:pPr>
        <w:pStyle w:val="ListParagraph"/>
        <w:numPr>
          <w:ilvl w:val="0"/>
          <w:numId w:val="2"/>
        </w:numPr>
        <w:spacing w:after="80"/>
      </w:pPr>
      <w:r>
        <w:rPr>
          <w:rFonts w:ascii="Arial" w:cs="Arial" w:eastAsia="Arial" w:hAnsi="Arial"/>
          <w:b w:val="false"/>
          <w:bCs w:val="false"/>
          <w:color w:val="1E293B"/>
          <w:sz w:val="22"/>
          <w:szCs w:val="22"/>
        </w:rPr>
        <w:t xml:space="preserve">If one API provider's quality degrades, instantly switch all workloads to the other</w:t>
      </w:r>
    </w:p>
    <w:p>
      <w:pPr>
        <w:pStyle w:val="ListParagraph"/>
        <w:numPr>
          <w:ilvl w:val="0"/>
          <w:numId w:val="2"/>
        </w:numPr>
        <w:spacing w:after="80"/>
      </w:pPr>
      <w:r>
        <w:rPr>
          <w:rFonts w:ascii="Arial" w:cs="Arial" w:eastAsia="Arial" w:hAnsi="Arial"/>
          <w:b w:val="false"/>
          <w:bCs w:val="false"/>
          <w:color w:val="1E293B"/>
          <w:sz w:val="22"/>
          <w:szCs w:val="22"/>
        </w:rPr>
        <w:t xml:space="preserve">Maintain API keys for 3+ providers; routing layer picks best model for each use case</w:t>
      </w:r>
    </w:p>
    <w:p>
      <w:pPr>
        <w:spacing w:after="100"/>
      </w:pPr>
    </w:p>
    <w:p>
      <w:pPr>
        <w:pStyle w:val="Heading2"/>
        <w:spacing w:after="120" w:before="280"/>
      </w:pPr>
      <w:r>
        <w:rPr>
          <w:rFonts w:ascii="Arial" w:cs="Arial" w:eastAsia="Arial" w:hAnsi="Arial"/>
          <w:b/>
          <w:bCs/>
          <w:color w:val="065A82"/>
          <w:sz w:val="28"/>
          <w:szCs w:val="28"/>
        </w:rPr>
        <w:t xml:space="preserve">4.3 Social Platform API Stability (MEDIUM Risk)</w:t>
      </w:r>
    </w:p>
    <w:p>
      <w:pPr>
        <w:pStyle w:val="Heading3"/>
        <w:spacing w:after="80" w:before="200"/>
      </w:pPr>
      <w:r>
        <w:rPr>
          <w:rFonts w:ascii="Arial" w:cs="Arial" w:eastAsia="Arial" w:hAnsi="Arial"/>
          <w:b/>
          <w:bCs/>
          <w:color w:val="00A896"/>
          <w:sz w:val="24"/>
          <w:szCs w:val="24"/>
        </w:rPr>
        <w:t xml:space="preserve">Why Medium Risk</w:t>
      </w:r>
    </w:p>
    <w:p>
      <w:pPr>
        <w:pStyle w:val="ListParagraph"/>
        <w:numPr>
          <w:ilvl w:val="0"/>
          <w:numId w:val="2"/>
        </w:numPr>
        <w:spacing w:after="80"/>
      </w:pPr>
      <w:r>
        <w:rPr>
          <w:rFonts w:ascii="Arial" w:cs="Arial" w:eastAsia="Arial" w:hAnsi="Arial"/>
          <w:b w:val="false"/>
          <w:bCs w:val="false"/>
          <w:color w:val="1E293B"/>
          <w:sz w:val="22"/>
          <w:szCs w:val="22"/>
        </w:rPr>
        <w:t xml:space="preserve">Meta changed API rules dramatically in 2018 (Cambridge Analytica scandal)</w:t>
      </w:r>
    </w:p>
    <w:p>
      <w:pPr>
        <w:pStyle w:val="ListParagraph"/>
        <w:numPr>
          <w:ilvl w:val="0"/>
          <w:numId w:val="2"/>
        </w:numPr>
        <w:spacing w:after="80"/>
      </w:pPr>
      <w:r>
        <w:rPr>
          <w:rFonts w:ascii="Arial" w:cs="Arial" w:eastAsia="Arial" w:hAnsi="Arial"/>
          <w:b w:val="false"/>
          <w:bCs w:val="false"/>
          <w:color w:val="1E293B"/>
          <w:sz w:val="22"/>
          <w:szCs w:val="22"/>
        </w:rPr>
        <w:t xml:space="preserve">TikTok faces regulatory uncertainty in AU and globally</w:t>
      </w:r>
    </w:p>
    <w:p>
      <w:pPr>
        <w:pStyle w:val="ListParagraph"/>
        <w:numPr>
          <w:ilvl w:val="0"/>
          <w:numId w:val="2"/>
        </w:numPr>
        <w:spacing w:after="80"/>
      </w:pPr>
      <w:r>
        <w:rPr>
          <w:rFonts w:ascii="Arial" w:cs="Arial" w:eastAsia="Arial" w:hAnsi="Arial"/>
          <w:b w:val="false"/>
          <w:bCs w:val="false"/>
          <w:color w:val="1E293B"/>
          <w:sz w:val="22"/>
          <w:szCs w:val="22"/>
        </w:rPr>
        <w:t xml:space="preserve">LinkedIn API is often rate-limited or restricted</w:t>
      </w:r>
    </w:p>
    <w:p>
      <w:pPr>
        <w:pStyle w:val="ListParagraph"/>
        <w:numPr>
          <w:ilvl w:val="0"/>
          <w:numId w:val="2"/>
        </w:numPr>
        <w:spacing w:after="80"/>
      </w:pPr>
      <w:r>
        <w:rPr>
          <w:rFonts w:ascii="Arial" w:cs="Arial" w:eastAsia="Arial" w:hAnsi="Arial"/>
          <w:b w:val="false"/>
          <w:bCs w:val="false"/>
          <w:color w:val="1E293B"/>
          <w:sz w:val="22"/>
          <w:szCs w:val="22"/>
        </w:rPr>
        <w:t xml:space="preserve">No guarantee APIs exist in 18 months — could be deprecated or paywalled</w:t>
      </w:r>
    </w:p>
    <w:p>
      <w:pPr>
        <w:spacing w:after="100"/>
      </w:pPr>
    </w:p>
    <w:p>
      <w:pPr>
        <w:pStyle w:val="Heading3"/>
        <w:spacing w:after="80" w:before="200"/>
      </w:pPr>
      <w:r>
        <w:rPr>
          <w:rFonts w:ascii="Arial" w:cs="Arial" w:eastAsia="Arial" w:hAnsi="Arial"/>
          <w:b/>
          <w:bCs/>
          <w:color w:val="00A896"/>
          <w:sz w:val="24"/>
          <w:szCs w:val="24"/>
        </w:rPr>
        <w:t xml:space="preserve">Mitigation Strategy</w:t>
      </w:r>
    </w:p>
    <w:p>
      <w:pPr>
        <w:pStyle w:val="ListParagraph"/>
        <w:numPr>
          <w:ilvl w:val="0"/>
          <w:numId w:val="2"/>
        </w:numPr>
        <w:spacing w:after="80"/>
      </w:pPr>
      <w:r>
        <w:rPr>
          <w:rFonts w:ascii="Arial" w:cs="Arial" w:eastAsia="Arial" w:hAnsi="Arial"/>
          <w:b w:val="false"/>
          <w:bCs w:val="false"/>
          <w:color w:val="1E293B"/>
          <w:sz w:val="22"/>
          <w:szCs w:val="22"/>
        </w:rPr>
        <w:t xml:space="preserve">Queue-based architecture: if one API is down, posts are retried in queue until available</w:t>
      </w:r>
    </w:p>
    <w:p>
      <w:pPr>
        <w:pStyle w:val="ListParagraph"/>
        <w:numPr>
          <w:ilvl w:val="0"/>
          <w:numId w:val="2"/>
        </w:numPr>
        <w:spacing w:after="80"/>
      </w:pPr>
      <w:r>
        <w:rPr>
          <w:rFonts w:ascii="Arial" w:cs="Arial" w:eastAsia="Arial" w:hAnsi="Arial"/>
          <w:b w:val="false"/>
          <w:bCs w:val="false"/>
          <w:color w:val="1E293B"/>
          <w:sz w:val="22"/>
          <w:szCs w:val="22"/>
        </w:rPr>
        <w:t xml:space="preserve">Graceful degradation per platform: fallback to email notification if social API fails</w:t>
      </w:r>
    </w:p>
    <w:p>
      <w:pPr>
        <w:pStyle w:val="ListParagraph"/>
        <w:numPr>
          <w:ilvl w:val="0"/>
          <w:numId w:val="2"/>
        </w:numPr>
        <w:spacing w:after="80"/>
      </w:pPr>
      <w:r>
        <w:rPr>
          <w:rFonts w:ascii="Arial" w:cs="Arial" w:eastAsia="Arial" w:hAnsi="Arial"/>
          <w:b w:val="false"/>
          <w:bCs w:val="false"/>
          <w:color w:val="1E293B"/>
          <w:sz w:val="22"/>
          <w:szCs w:val="22"/>
        </w:rPr>
        <w:t xml:space="preserve">API changelog subscriptions: monitor official API status pages and blogs daily</w:t>
      </w:r>
    </w:p>
    <w:p>
      <w:pPr>
        <w:pStyle w:val="ListParagraph"/>
        <w:numPr>
          <w:ilvl w:val="0"/>
          <w:numId w:val="2"/>
        </w:numPr>
        <w:spacing w:after="80"/>
      </w:pPr>
      <w:r>
        <w:rPr>
          <w:rFonts w:ascii="Arial" w:cs="Arial" w:eastAsia="Arial" w:hAnsi="Arial"/>
          <w:b w:val="false"/>
          <w:bCs w:val="false"/>
          <w:color w:val="1E293B"/>
          <w:sz w:val="22"/>
          <w:szCs w:val="22"/>
        </w:rPr>
        <w:t xml:space="preserve">Automated integration tests daily to detect breaking changes before they hit production</w:t>
      </w:r>
    </w:p>
    <w:p>
      <w:pPr>
        <w:pStyle w:val="ListParagraph"/>
        <w:numPr>
          <w:ilvl w:val="0"/>
          <w:numId w:val="2"/>
        </w:numPr>
        <w:spacing w:after="80"/>
      </w:pPr>
      <w:r>
        <w:rPr>
          <w:rFonts w:ascii="Arial" w:cs="Arial" w:eastAsia="Arial" w:hAnsi="Arial"/>
          <w:b w:val="false"/>
          <w:bCs w:val="false"/>
          <w:color w:val="1E293B"/>
          <w:sz w:val="22"/>
          <w:szCs w:val="22"/>
        </w:rPr>
        <w:t xml:space="preserve">Maintain fallback channels: SMS, email, or push notifications when social APIs unavailable</w:t>
      </w:r>
    </w:p>
    <w:p>
      <w:pPr>
        <w:spacing w:after="100"/>
      </w:pPr>
    </w:p>
    <w:p>
      <w:pPr>
        <w:pStyle w:val="Heading1"/>
        <w:pageBreakBefore/>
      </w:pPr>
      <w:r>
        <w:rPr>
          <w:rFonts w:ascii="Arial" w:cs="Arial" w:eastAsia="Arial" w:hAnsi="Arial"/>
          <w:b/>
          <w:bCs/>
          <w:color w:val="0D2B3E"/>
          <w:sz w:val="36"/>
          <w:szCs w:val="36"/>
        </w:rPr>
        <w:t xml:space="preserve">5. What NOT to Build (Critical Analysis)</w:t>
      </w:r>
    </w:p>
    <w:p>
      <w:pPr>
        <w:spacing w:after="140"/>
      </w:pPr>
      <w:r>
        <w:rPr>
          <w:rFonts w:ascii="Arial" w:cs="Arial" w:eastAsia="Arial" w:hAnsi="Arial"/>
          <w:color w:val="1E293B"/>
          <w:sz w:val="22"/>
          <w:szCs w:val="22"/>
        </w:rPr>
        <w:t xml:space="preserve">These components would consume 6+ months of engineering time and still be inferior to existing solutions. Verdict: Do NOT build.</w:t>
      </w:r>
    </w:p>
    <w:p>
      <w:pPr>
        <w:spacing w:after="100"/>
      </w:pPr>
    </w:p>
    <w:p>
      <w:pPr>
        <w:pStyle w:val="Heading2"/>
        <w:spacing w:after="120" w:before="280"/>
      </w:pPr>
      <w:r>
        <w:rPr>
          <w:rFonts w:ascii="Arial" w:cs="Arial" w:eastAsia="Arial" w:hAnsi="Arial"/>
          <w:b/>
          <w:bCs/>
          <w:color w:val="065A82"/>
          <w:sz w:val="28"/>
          <w:szCs w:val="28"/>
        </w:rPr>
        <w:t xml:space="preserve">5.1 Payment Processor</w:t>
      </w:r>
    </w:p>
    <w:p>
      <w:pPr>
        <w:spacing w:after="140"/>
      </w:pPr>
      <w:r>
        <w:rPr>
          <w:rFonts w:ascii="Arial" w:cs="Arial" w:eastAsia="Arial" w:hAnsi="Arial"/>
          <w:color w:val="1E293B"/>
          <w:sz w:val="22"/>
          <w:szCs w:val="22"/>
        </w:rPr>
        <w:t xml:space="preserve">Cost to build: $400K+ (PCI-DSS certification, fraud detection, settlement, compliance). Cost to use Stripe: $850/month. Verdict: Buy Stripe.</w:t>
      </w:r>
    </w:p>
    <w:p>
      <w:pPr>
        <w:spacing w:after="100"/>
      </w:pPr>
    </w:p>
    <w:p>
      <w:pPr>
        <w:pStyle w:val="Heading2"/>
        <w:spacing w:after="120" w:before="280"/>
      </w:pPr>
      <w:r>
        <w:rPr>
          <w:rFonts w:ascii="Arial" w:cs="Arial" w:eastAsia="Arial" w:hAnsi="Arial"/>
          <w:b/>
          <w:bCs/>
          <w:color w:val="065A82"/>
          <w:sz w:val="28"/>
          <w:szCs w:val="28"/>
        </w:rPr>
        <w:t xml:space="preserve">5.2 Email Infrastructure (SMTP Servers)</w:t>
      </w:r>
    </w:p>
    <w:p>
      <w:pPr>
        <w:spacing w:after="140"/>
      </w:pPr>
      <w:r>
        <w:rPr>
          <w:rFonts w:ascii="Arial" w:cs="Arial" w:eastAsia="Arial" w:hAnsi="Arial"/>
          <w:color w:val="1E293B"/>
          <w:sz w:val="22"/>
          <w:szCs w:val="22"/>
        </w:rPr>
        <w:t xml:space="preserve">SES charges $0.10 per 1,000 emails. At 100M emails/month (1M customers × 100 emails/month), that's $10,000/month. Building equivalent infrastructure would require:</w:t>
      </w:r>
    </w:p>
    <w:p>
      <w:pPr>
        <w:pStyle w:val="ListParagraph"/>
        <w:numPr>
          <w:ilvl w:val="0"/>
          <w:numId w:val="2"/>
        </w:numPr>
        <w:spacing w:after="80"/>
      </w:pPr>
      <w:r>
        <w:rPr>
          <w:rFonts w:ascii="Arial" w:cs="Arial" w:eastAsia="Arial" w:hAnsi="Arial"/>
          <w:b w:val="false"/>
          <w:bCs w:val="false"/>
          <w:color w:val="1E293B"/>
          <w:sz w:val="22"/>
          <w:szCs w:val="22"/>
        </w:rPr>
        <w:t xml:space="preserve">Multiple servers across global regions</w:t>
      </w:r>
    </w:p>
    <w:p>
      <w:pPr>
        <w:pStyle w:val="ListParagraph"/>
        <w:numPr>
          <w:ilvl w:val="0"/>
          <w:numId w:val="2"/>
        </w:numPr>
        <w:spacing w:after="80"/>
      </w:pPr>
      <w:r>
        <w:rPr>
          <w:rFonts w:ascii="Arial" w:cs="Arial" w:eastAsia="Arial" w:hAnsi="Arial"/>
          <w:b w:val="false"/>
          <w:bCs w:val="false"/>
          <w:color w:val="1E293B"/>
          <w:sz w:val="22"/>
          <w:szCs w:val="22"/>
        </w:rPr>
        <w:t xml:space="preserve">Bounce handling, list hygiene, reputation monitoring</w:t>
      </w:r>
    </w:p>
    <w:p>
      <w:pPr>
        <w:pStyle w:val="ListParagraph"/>
        <w:numPr>
          <w:ilvl w:val="0"/>
          <w:numId w:val="2"/>
        </w:numPr>
        <w:spacing w:after="80"/>
      </w:pPr>
      <w:r>
        <w:rPr>
          <w:rFonts w:ascii="Arial" w:cs="Arial" w:eastAsia="Arial" w:hAnsi="Arial"/>
          <w:b w:val="false"/>
          <w:bCs w:val="false"/>
          <w:color w:val="1E293B"/>
          <w:sz w:val="22"/>
          <w:szCs w:val="22"/>
        </w:rPr>
        <w:t xml:space="preserve">Spam trap avoidance (constantly updated)</w:t>
      </w:r>
    </w:p>
    <w:p>
      <w:pPr>
        <w:pStyle w:val="ListParagraph"/>
        <w:numPr>
          <w:ilvl w:val="0"/>
          <w:numId w:val="2"/>
        </w:numPr>
        <w:spacing w:after="80"/>
      </w:pPr>
      <w:r>
        <w:rPr>
          <w:rFonts w:ascii="Arial" w:cs="Arial" w:eastAsia="Arial" w:hAnsi="Arial"/>
          <w:b w:val="false"/>
          <w:bCs w:val="false"/>
          <w:color w:val="1E293B"/>
          <w:sz w:val="22"/>
          <w:szCs w:val="22"/>
        </w:rPr>
        <w:t xml:space="preserve">Infrastructure cost: $500K+ upfront + $100K/month ongoing</w:t>
      </w:r>
    </w:p>
    <w:p>
      <w:pPr>
        <w:spacing w:after="140"/>
      </w:pPr>
      <w:r>
        <w:rPr>
          <w:rFonts w:ascii="Arial" w:cs="Arial" w:eastAsia="Arial" w:hAnsi="Arial"/>
          <w:color w:val="1E293B"/>
          <w:sz w:val="22"/>
          <w:szCs w:val="22"/>
        </w:rPr>
        <w:t xml:space="preserve">Verdict: Buy Amazon SES + SendGrid fallback for $500/month.</w:t>
      </w:r>
    </w:p>
    <w:p>
      <w:pPr>
        <w:spacing w:after="100"/>
      </w:pPr>
    </w:p>
    <w:p>
      <w:pPr>
        <w:pStyle w:val="Heading2"/>
        <w:spacing w:after="120" w:before="280"/>
      </w:pPr>
      <w:r>
        <w:rPr>
          <w:rFonts w:ascii="Arial" w:cs="Arial" w:eastAsia="Arial" w:hAnsi="Arial"/>
          <w:b/>
          <w:bCs/>
          <w:color w:val="065A82"/>
          <w:sz w:val="28"/>
          <w:szCs w:val="28"/>
        </w:rPr>
        <w:t xml:space="preserve">5.3 Authentication System</w:t>
      </w:r>
    </w:p>
    <w:p>
      <w:pPr>
        <w:spacing w:after="140"/>
      </w:pPr>
      <w:r>
        <w:rPr>
          <w:rFonts w:ascii="Arial" w:cs="Arial" w:eastAsia="Arial" w:hAnsi="Arial"/>
          <w:color w:val="1E293B"/>
          <w:sz w:val="22"/>
          <w:szCs w:val="22"/>
        </w:rPr>
        <w:t xml:space="preserve">Auth exploits are constantly evolving (phishing, credential stuffing, MFA bypasses). Building our own would require security expertise and continuous patching. Supabase Auth includes:</w:t>
      </w:r>
    </w:p>
    <w:p>
      <w:pPr>
        <w:pStyle w:val="ListParagraph"/>
        <w:numPr>
          <w:ilvl w:val="0"/>
          <w:numId w:val="2"/>
        </w:numPr>
        <w:spacing w:after="80"/>
      </w:pPr>
      <w:r>
        <w:rPr>
          <w:rFonts w:ascii="Arial" w:cs="Arial" w:eastAsia="Arial" w:hAnsi="Arial"/>
          <w:b w:val="false"/>
          <w:bCs w:val="false"/>
          <w:color w:val="1E293B"/>
          <w:sz w:val="22"/>
          <w:szCs w:val="22"/>
        </w:rPr>
        <w:t xml:space="preserve">OAuth (Google, GitHub, etc.)</w:t>
      </w:r>
    </w:p>
    <w:p>
      <w:pPr>
        <w:pStyle w:val="ListParagraph"/>
        <w:numPr>
          <w:ilvl w:val="0"/>
          <w:numId w:val="2"/>
        </w:numPr>
        <w:spacing w:after="80"/>
      </w:pPr>
      <w:r>
        <w:rPr>
          <w:rFonts w:ascii="Arial" w:cs="Arial" w:eastAsia="Arial" w:hAnsi="Arial"/>
          <w:b w:val="false"/>
          <w:bCs w:val="false"/>
          <w:color w:val="1E293B"/>
          <w:sz w:val="22"/>
          <w:szCs w:val="22"/>
        </w:rPr>
        <w:t xml:space="preserve">Magic links (passwordless)</w:t>
      </w:r>
    </w:p>
    <w:p>
      <w:pPr>
        <w:pStyle w:val="ListParagraph"/>
        <w:numPr>
          <w:ilvl w:val="0"/>
          <w:numId w:val="2"/>
        </w:numPr>
        <w:spacing w:after="80"/>
      </w:pPr>
      <w:r>
        <w:rPr>
          <w:rFonts w:ascii="Arial" w:cs="Arial" w:eastAsia="Arial" w:hAnsi="Arial"/>
          <w:b w:val="false"/>
          <w:bCs w:val="false"/>
          <w:color w:val="1E293B"/>
          <w:sz w:val="22"/>
          <w:szCs w:val="22"/>
        </w:rPr>
        <w:t xml:space="preserve">SAML (enterprise SSO)</w:t>
      </w:r>
    </w:p>
    <w:p>
      <w:pPr>
        <w:pStyle w:val="ListParagraph"/>
        <w:numPr>
          <w:ilvl w:val="0"/>
          <w:numId w:val="2"/>
        </w:numPr>
        <w:spacing w:after="80"/>
      </w:pPr>
      <w:r>
        <w:rPr>
          <w:rFonts w:ascii="Arial" w:cs="Arial" w:eastAsia="Arial" w:hAnsi="Arial"/>
          <w:b w:val="false"/>
          <w:bCs w:val="false"/>
          <w:color w:val="1E293B"/>
          <w:sz w:val="22"/>
          <w:szCs w:val="22"/>
        </w:rPr>
        <w:t xml:space="preserve">MFA (TOTP, SMS)</w:t>
      </w:r>
    </w:p>
    <w:p>
      <w:pPr>
        <w:pStyle w:val="ListParagraph"/>
        <w:numPr>
          <w:ilvl w:val="0"/>
          <w:numId w:val="2"/>
        </w:numPr>
        <w:spacing w:after="80"/>
      </w:pPr>
      <w:r>
        <w:rPr>
          <w:rFonts w:ascii="Arial" w:cs="Arial" w:eastAsia="Arial" w:hAnsi="Arial"/>
          <w:b w:val="false"/>
          <w:bCs w:val="false"/>
          <w:color w:val="1E293B"/>
          <w:sz w:val="22"/>
          <w:szCs w:val="22"/>
        </w:rPr>
        <w:t xml:space="preserve">SOC2 compliance (already audited)</w:t>
      </w:r>
    </w:p>
    <w:p>
      <w:pPr>
        <w:spacing w:after="140"/>
      </w:pPr>
      <w:r>
        <w:rPr>
          <w:rFonts w:ascii="Arial" w:cs="Arial" w:eastAsia="Arial" w:hAnsi="Arial"/>
          <w:color w:val="1E293B"/>
          <w:sz w:val="22"/>
          <w:szCs w:val="22"/>
        </w:rPr>
        <w:t xml:space="preserve">Verdict: Buy Supabase Auth at $500/month.</w:t>
      </w:r>
    </w:p>
    <w:p>
      <w:pPr>
        <w:spacing w:after="100"/>
      </w:pPr>
    </w:p>
    <w:p>
      <w:pPr>
        <w:pStyle w:val="Heading2"/>
        <w:spacing w:after="120" w:before="280"/>
      </w:pPr>
      <w:r>
        <w:rPr>
          <w:rFonts w:ascii="Arial" w:cs="Arial" w:eastAsia="Arial" w:hAnsi="Arial"/>
          <w:b/>
          <w:bCs/>
          <w:color w:val="065A82"/>
          <w:sz w:val="28"/>
          <w:szCs w:val="28"/>
        </w:rPr>
        <w:t xml:space="preserve">5.4 Content Delivery Network (CDN)</w:t>
      </w:r>
    </w:p>
    <w:p>
      <w:pPr>
        <w:spacing w:after="140"/>
      </w:pPr>
      <w:r>
        <w:rPr>
          <w:rFonts w:ascii="Arial" w:cs="Arial" w:eastAsia="Arial" w:hAnsi="Arial"/>
          <w:color w:val="1E293B"/>
          <w:sz w:val="22"/>
          <w:szCs w:val="22"/>
        </w:rPr>
        <w:t xml:space="preserve">CloudFront has 500+ edge locations globally. Building a CDN would take 18+ months and require:</w:t>
      </w:r>
    </w:p>
    <w:p>
      <w:pPr>
        <w:pStyle w:val="ListParagraph"/>
        <w:numPr>
          <w:ilvl w:val="0"/>
          <w:numId w:val="2"/>
        </w:numPr>
        <w:spacing w:after="80"/>
      </w:pPr>
      <w:r>
        <w:rPr>
          <w:rFonts w:ascii="Arial" w:cs="Arial" w:eastAsia="Arial" w:hAnsi="Arial"/>
          <w:b w:val="false"/>
          <w:bCs w:val="false"/>
          <w:color w:val="1E293B"/>
          <w:sz w:val="22"/>
          <w:szCs w:val="22"/>
        </w:rPr>
        <w:t xml:space="preserve">Negotiating peering agreements with ISPs globally</w:t>
      </w:r>
    </w:p>
    <w:p>
      <w:pPr>
        <w:pStyle w:val="ListParagraph"/>
        <w:numPr>
          <w:ilvl w:val="0"/>
          <w:numId w:val="2"/>
        </w:numPr>
        <w:spacing w:after="80"/>
      </w:pPr>
      <w:r>
        <w:rPr>
          <w:rFonts w:ascii="Arial" w:cs="Arial" w:eastAsia="Arial" w:hAnsi="Arial"/>
          <w:b w:val="false"/>
          <w:bCs w:val="false"/>
          <w:color w:val="1E293B"/>
          <w:sz w:val="22"/>
          <w:szCs w:val="22"/>
        </w:rPr>
        <w:t xml:space="preserve">Deploying servers in 50+ countries</w:t>
      </w:r>
    </w:p>
    <w:p>
      <w:pPr>
        <w:pStyle w:val="ListParagraph"/>
        <w:numPr>
          <w:ilvl w:val="0"/>
          <w:numId w:val="2"/>
        </w:numPr>
        <w:spacing w:after="80"/>
      </w:pPr>
      <w:r>
        <w:rPr>
          <w:rFonts w:ascii="Arial" w:cs="Arial" w:eastAsia="Arial" w:hAnsi="Arial"/>
          <w:b w:val="false"/>
          <w:bCs w:val="false"/>
          <w:color w:val="1E293B"/>
          <w:sz w:val="22"/>
          <w:szCs w:val="22"/>
        </w:rPr>
        <w:t xml:space="preserve">Managing SSL certificates at scale</w:t>
      </w:r>
    </w:p>
    <w:p>
      <w:pPr>
        <w:pStyle w:val="ListParagraph"/>
        <w:numPr>
          <w:ilvl w:val="0"/>
          <w:numId w:val="2"/>
        </w:numPr>
        <w:spacing w:after="80"/>
      </w:pPr>
      <w:r>
        <w:rPr>
          <w:rFonts w:ascii="Arial" w:cs="Arial" w:eastAsia="Arial" w:hAnsi="Arial"/>
          <w:b w:val="false"/>
          <w:bCs w:val="false"/>
          <w:color w:val="1E293B"/>
          <w:sz w:val="22"/>
          <w:szCs w:val="22"/>
        </w:rPr>
        <w:t xml:space="preserve">DDoS mitigation infrastructure</w:t>
      </w:r>
    </w:p>
    <w:p>
      <w:pPr>
        <w:spacing w:after="140"/>
      </w:pPr>
      <w:r>
        <w:rPr>
          <w:rFonts w:ascii="Arial" w:cs="Arial" w:eastAsia="Arial" w:hAnsi="Arial"/>
          <w:color w:val="1E293B"/>
          <w:sz w:val="22"/>
          <w:szCs w:val="22"/>
        </w:rPr>
        <w:t xml:space="preserve">Verdict: Buy CloudFront at $0.085/GB (cheaper than building at $0.30/GB).</w:t>
      </w:r>
    </w:p>
    <w:p>
      <w:pPr>
        <w:spacing w:after="100"/>
      </w:pPr>
    </w:p>
    <w:p>
      <w:pPr>
        <w:pStyle w:val="Heading2"/>
        <w:spacing w:after="120" w:before="280"/>
      </w:pPr>
      <w:r>
        <w:rPr>
          <w:rFonts w:ascii="Arial" w:cs="Arial" w:eastAsia="Arial" w:hAnsi="Arial"/>
          <w:b/>
          <w:bCs/>
          <w:color w:val="065A82"/>
          <w:sz w:val="28"/>
          <w:szCs w:val="28"/>
        </w:rPr>
        <w:t xml:space="preserve">5.5 Keyword Database</w:t>
      </w:r>
    </w:p>
    <w:p>
      <w:pPr>
        <w:spacing w:after="140"/>
      </w:pPr>
      <w:r>
        <w:rPr>
          <w:rFonts w:ascii="Arial" w:cs="Arial" w:eastAsia="Arial" w:hAnsi="Arial"/>
          <w:color w:val="1E293B"/>
          <w:sz w:val="22"/>
          <w:szCs w:val="22"/>
        </w:rPr>
        <w:t xml:space="preserve">DataForSEO has 18M+ Australian keywords, ranked, updated daily. Building our own would require:</w:t>
      </w:r>
    </w:p>
    <w:p>
      <w:pPr>
        <w:pStyle w:val="ListParagraph"/>
        <w:numPr>
          <w:ilvl w:val="0"/>
          <w:numId w:val="2"/>
        </w:numPr>
        <w:spacing w:after="80"/>
      </w:pPr>
      <w:r>
        <w:rPr>
          <w:rFonts w:ascii="Arial" w:cs="Arial" w:eastAsia="Arial" w:hAnsi="Arial"/>
          <w:b w:val="false"/>
          <w:bCs w:val="false"/>
          <w:color w:val="1E293B"/>
          <w:sz w:val="22"/>
          <w:szCs w:val="22"/>
        </w:rPr>
        <w:t xml:space="preserve">Web crawler (millions of searches/day, avoiding IP bans)</w:t>
      </w:r>
    </w:p>
    <w:p>
      <w:pPr>
        <w:pStyle w:val="ListParagraph"/>
        <w:numPr>
          <w:ilvl w:val="0"/>
          <w:numId w:val="2"/>
        </w:numPr>
        <w:spacing w:after="80"/>
      </w:pPr>
      <w:r>
        <w:rPr>
          <w:rFonts w:ascii="Arial" w:cs="Arial" w:eastAsia="Arial" w:hAnsi="Arial"/>
          <w:b w:val="false"/>
          <w:bCs w:val="false"/>
          <w:color w:val="1E293B"/>
          <w:sz w:val="22"/>
          <w:szCs w:val="22"/>
        </w:rPr>
        <w:t xml:space="preserve">Scraping infrastructure, proxy networks</w:t>
      </w:r>
    </w:p>
    <w:p>
      <w:pPr>
        <w:pStyle w:val="ListParagraph"/>
        <w:numPr>
          <w:ilvl w:val="0"/>
          <w:numId w:val="2"/>
        </w:numPr>
        <w:spacing w:after="80"/>
      </w:pPr>
      <w:r>
        <w:rPr>
          <w:rFonts w:ascii="Arial" w:cs="Arial" w:eastAsia="Arial" w:hAnsi="Arial"/>
          <w:b w:val="false"/>
          <w:bCs w:val="false"/>
          <w:color w:val="1E293B"/>
          <w:sz w:val="22"/>
          <w:szCs w:val="22"/>
        </w:rPr>
        <w:t xml:space="preserve">Ranking algorithm (proprietary)</w:t>
      </w:r>
    </w:p>
    <w:p>
      <w:pPr>
        <w:pStyle w:val="ListParagraph"/>
        <w:numPr>
          <w:ilvl w:val="0"/>
          <w:numId w:val="2"/>
        </w:numPr>
        <w:spacing w:after="80"/>
      </w:pPr>
      <w:r>
        <w:rPr>
          <w:rFonts w:ascii="Arial" w:cs="Arial" w:eastAsia="Arial" w:hAnsi="Arial"/>
          <w:b w:val="false"/>
          <w:bCs w:val="false"/>
          <w:color w:val="1E293B"/>
          <w:sz w:val="22"/>
          <w:szCs w:val="22"/>
        </w:rPr>
        <w:t xml:space="preserve">SEO compliance (avoiding violations)</w:t>
      </w:r>
    </w:p>
    <w:p>
      <w:pPr>
        <w:spacing w:after="140"/>
      </w:pPr>
      <w:r>
        <w:rPr>
          <w:rFonts w:ascii="Arial" w:cs="Arial" w:eastAsia="Arial" w:hAnsi="Arial"/>
          <w:color w:val="1E293B"/>
          <w:sz w:val="22"/>
          <w:szCs w:val="22"/>
        </w:rPr>
        <w:t xml:space="preserve">Verdict: Buy DataForSEO API at $800/month.</w:t>
      </w:r>
    </w:p>
    <w:p>
      <w:pPr>
        <w:spacing w:after="100"/>
      </w:pPr>
    </w:p>
    <w:p>
      <w:pPr>
        <w:pStyle w:val="Heading1"/>
        <w:pageBreakBefore/>
      </w:pPr>
      <w:r>
        <w:rPr>
          <w:rFonts w:ascii="Arial" w:cs="Arial" w:eastAsia="Arial" w:hAnsi="Arial"/>
          <w:b/>
          <w:bCs/>
          <w:color w:val="0D2B3E"/>
          <w:sz w:val="36"/>
          <w:szCs w:val="36"/>
        </w:rPr>
        <w:t xml:space="preserve">6. Alternative Platform Options (MVP Phase)</w:t>
      </w:r>
    </w:p>
    <w:p>
      <w:pPr>
        <w:spacing w:after="140"/>
      </w:pPr>
      <w:r>
        <w:rPr>
          <w:rFonts w:ascii="Arial" w:cs="Arial" w:eastAsia="Arial" w:hAnsi="Arial"/>
          <w:color w:val="1E293B"/>
          <w:sz w:val="22"/>
          <w:szCs w:val="22"/>
        </w:rPr>
        <w:t xml:space="preserve">If engineering bandwidth is limited, some components can launch on white-label platforms while custom builds mature in Phase 2. Trade-offs below:</w:t>
      </w:r>
    </w:p>
    <w:p>
      <w:pPr>
        <w:spacing w:after="100"/>
      </w:pP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1400"/>
      </w:tblGrid>
      <w:tr>
        <w:trPr>
          <w:tblHeader/>
        </w:trPr>
        <w:tc>
          <w:tcPr>
            <w:tcBorders>
              <w:top w:val="single" w:color="D1E8F0" w:sz="1"/>
              <w:left w:val="single" w:color="D1E8F0" w:sz="1"/>
              <w:bottom w:val="single" w:color="D1E8F0" w:sz="1"/>
              <w:right w:val="single" w:color="D1E8F0" w:sz="1"/>
            </w:tcBorders>
            <w:shd w:fill="065A8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Borders>
              <w:top w:val="single" w:color="D1E8F0" w:sz="1"/>
              <w:left w:val="single" w:color="D1E8F0" w:sz="1"/>
              <w:bottom w:val="single" w:color="D1E8F0" w:sz="1"/>
              <w:right w:val="single" w:color="D1E8F0" w:sz="1"/>
            </w:tcBorders>
            <w:shd w:fill="065A8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Alternative Platform</w:t>
            </w:r>
          </w:p>
        </w:tc>
        <w:tc>
          <w:tcPr>
            <w:tcBorders>
              <w:top w:val="single" w:color="D1E8F0" w:sz="1"/>
              <w:left w:val="single" w:color="D1E8F0" w:sz="1"/>
              <w:bottom w:val="single" w:color="D1E8F0" w:sz="1"/>
              <w:right w:val="single" w:color="D1E8F0" w:sz="1"/>
            </w:tcBorders>
            <w:shd w:fill="065A8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Trade-offs</w:t>
            </w:r>
          </w:p>
        </w:tc>
        <w:tc>
          <w:tcPr>
            <w:tcBorders>
              <w:top w:val="single" w:color="D1E8F0" w:sz="1"/>
              <w:left w:val="single" w:color="D1E8F0" w:sz="1"/>
              <w:bottom w:val="single" w:color="D1E8F0" w:sz="1"/>
              <w:right w:val="single" w:color="D1E8F0" w:sz="1"/>
            </w:tcBorders>
            <w:shd w:fill="065A8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 vs Custom Build</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Email Module</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Mailchimp API + white-label</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Faster launch, less control, Mailchimp branding risk</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$200/mo vs 3 mo dev</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Social Scheduling</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Buffer API or Publer API</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Proven reliability, limits our differentiation</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$99/mo/tenant vs 4 mo dev</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Blog CMS</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WordPress multisite or Ghost</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Proven, SEO-native, hard to integrate deeply</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$200/mo vs 2 mo dev</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SEO Audit Tool</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SE Ranking or Ahrefs API</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Professional-grade data immediately</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$500/mo vs 5 mo dev</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Landing Pages</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Unbounce API or Leadpages</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Campaign landing pages without building</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$300/mo vs 3 mo dev</w:t>
            </w:r>
          </w:p>
        </w:tc>
      </w:tr>
    </w:tbl>
    <w:p>
      <w:pPr>
        <w:spacing w:after="100"/>
      </w:pP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800"/>
      </w:tblGrid>
      <w:tr>
        <w:tc>
          <w:tcPr>
            <w:tcBorders>
              <w:top w:val="single" w:color="00A896" w:sz="4"/>
              <w:left w:val="single" w:color="00A896" w:sz="4"/>
              <w:bottom w:val="single" w:color="D1E8F0" w:sz="1"/>
              <w:right w:val="single" w:color="D1E8F0" w:sz="1"/>
            </w:tcBorders>
            <w:shd w:fill="EEF9F8" w:val="clear"/>
            <w:tcMar>
              <w:top w:type="dxa" w:w="120"/>
              <w:left w:type="dxa" w:w="180"/>
              <w:bottom w:type="dxa" w:w="120"/>
              <w:right w:type="dxa" w:w="120"/>
            </w:tcMar>
          </w:tcPr>
          <w:p>
            <w:pPr>
              <w:spacing w:after="80"/>
            </w:pPr>
            <w:r>
              <w:rPr>
                <w:rFonts w:ascii="Arial" w:cs="Arial" w:eastAsia="Arial" w:hAnsi="Arial"/>
                <w:b/>
                <w:bCs/>
                <w:color w:val="065A82"/>
                <w:sz w:val="22"/>
                <w:szCs w:val="22"/>
              </w:rPr>
              <w:t xml:space="preserve">Recommendation</w:t>
            </w:r>
          </w:p>
          <w:p>
            <w:pPr>
              <w:spacing w:after="60"/>
            </w:pPr>
            <w:r>
              <w:rPr>
                <w:rFonts w:ascii="Arial" w:cs="Arial" w:eastAsia="Arial" w:hAnsi="Arial"/>
                <w:color w:val="1E293B"/>
                <w:sz w:val="20"/>
                <w:szCs w:val="20"/>
              </w:rPr>
              <w:t xml:space="preserve">Build core (campaign logic, tracker, AI orchestration) first. Use partner APIs for social/SEO/email in MVP to accelerate launch. Replace with owned functionality in Phase 2 once core is profitable.</w:t>
            </w:r>
          </w:p>
        </w:tc>
      </w:tr>
    </w:tbl>
    <w:p>
      <w:pPr>
        <w:spacing w:after="100"/>
      </w:pPr>
    </w:p>
    <w:p>
      <w:pPr>
        <w:pStyle w:val="Heading1"/>
        <w:pageBreakBefore/>
      </w:pPr>
      <w:r>
        <w:rPr>
          <w:rFonts w:ascii="Arial" w:cs="Arial" w:eastAsia="Arial" w:hAnsi="Arial"/>
          <w:b/>
          <w:bCs/>
          <w:color w:val="0D2B3E"/>
          <w:sz w:val="36"/>
          <w:szCs w:val="36"/>
        </w:rPr>
        <w:t xml:space="preserve">7. Development Resource Requirements &amp; Roadmap</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800"/>
        <w:gridCol w:w="1200"/>
        <w:gridCol w:w="1600"/>
      </w:tblGrid>
      <w:tr>
        <w:trPr>
          <w:tblHeader/>
        </w:trPr>
        <w:tc>
          <w:tcPr>
            <w:tcBorders>
              <w:top w:val="single" w:color="D1E8F0" w:sz="1"/>
              <w:left w:val="single" w:color="D1E8F0" w:sz="1"/>
              <w:bottom w:val="single" w:color="D1E8F0" w:sz="1"/>
              <w:right w:val="single" w:color="D1E8F0" w:sz="1"/>
            </w:tcBorders>
            <w:shd w:fill="065A8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Borders>
              <w:top w:val="single" w:color="D1E8F0" w:sz="1"/>
              <w:left w:val="single" w:color="D1E8F0" w:sz="1"/>
              <w:bottom w:val="single" w:color="D1E8F0" w:sz="1"/>
              <w:right w:val="single" w:color="D1E8F0" w:sz="1"/>
            </w:tcBorders>
            <w:shd w:fill="065A8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Features</w:t>
            </w:r>
          </w:p>
        </w:tc>
        <w:tc>
          <w:tcPr>
            <w:tcBorders>
              <w:top w:val="single" w:color="D1E8F0" w:sz="1"/>
              <w:left w:val="single" w:color="D1E8F0" w:sz="1"/>
              <w:bottom w:val="single" w:color="D1E8F0" w:sz="1"/>
              <w:right w:val="single" w:color="D1E8F0" w:sz="1"/>
            </w:tcBorders>
            <w:shd w:fill="065A8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Team Needed</w:t>
            </w:r>
          </w:p>
        </w:tc>
        <w:tc>
          <w:tcPr>
            <w:tcBorders>
              <w:top w:val="single" w:color="D1E8F0" w:sz="1"/>
              <w:left w:val="single" w:color="D1E8F0" w:sz="1"/>
              <w:bottom w:val="single" w:color="D1E8F0" w:sz="1"/>
              <w:right w:val="single" w:color="D1E8F0" w:sz="1"/>
            </w:tcBorders>
            <w:shd w:fill="065A8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Timeline</w:t>
            </w:r>
          </w:p>
        </w:tc>
        <w:tc>
          <w:tcPr>
            <w:tcBorders>
              <w:top w:val="single" w:color="D1E8F0" w:sz="1"/>
              <w:left w:val="single" w:color="D1E8F0" w:sz="1"/>
              <w:bottom w:val="single" w:color="D1E8F0" w:sz="1"/>
              <w:right w:val="single" w:color="D1E8F0" w:sz="1"/>
            </w:tcBorders>
            <w:shd w:fill="065A8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Estimated Cost (AUD)</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Phase 1 MVP</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Campaign builder, AI engine, social scheduler, email send, basic analytics</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2 FE + 2 BE + 1 DevOps + 1 PM</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4 months</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$320,000</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Phase 2 Growth</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SEO tools, ads integration, mobile app, blog publisher, accounting integrations</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+1 BE + 1 Mobile</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+4 months</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$280,000</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Phase 3 Scale</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White-label, API, advanced analytics, AI personalisation</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+1 AI engineer</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+4 months</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$240,000</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Ongoing Support</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Maintenance, new features, platform reliability</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4 engineers + 1 DevOps</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Ongoing</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$720,000/yr</w:t>
            </w:r>
          </w:p>
        </w:tc>
      </w:tr>
    </w:tbl>
    <w:p>
      <w:pPr>
        <w:spacing w:after="100"/>
      </w:pPr>
    </w:p>
    <w:p>
      <w:pPr>
        <w:spacing w:after="140"/>
      </w:pPr>
      <w:r>
        <w:rPr>
          <w:rFonts w:ascii="Arial" w:cs="Arial" w:eastAsia="Arial" w:hAnsi="Arial"/>
          <w:color w:val="1E293B"/>
          <w:sz w:val="22"/>
          <w:szCs w:val="22"/>
        </w:rPr>
        <w:t xml:space="preserve">Total investment to reach full product (Phase 3, 18 months): ~$840,000 AUD — fundable from a $1.5M seed round.</w:t>
      </w:r>
    </w:p>
    <w:p>
      <w:pPr>
        <w:spacing w:after="100"/>
      </w:pPr>
    </w:p>
    <w:p>
      <w:pPr>
        <w:pStyle w:val="Heading1"/>
        <w:pageBreakBefore/>
      </w:pPr>
      <w:r>
        <w:rPr>
          <w:rFonts w:ascii="Arial" w:cs="Arial" w:eastAsia="Arial" w:hAnsi="Arial"/>
          <w:b/>
          <w:bCs/>
          <w:color w:val="0D2B3E"/>
          <w:sz w:val="36"/>
          <w:szCs w:val="36"/>
        </w:rPr>
        <w:t xml:space="preserve">8. Total Cost of Ownership at 10,000 Tenants</w:t>
      </w:r>
    </w:p>
    <w:p>
      <w:pPr>
        <w:spacing w:after="100"/>
      </w:pP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tblGrid>
      <w:tr>
        <w:trPr>
          <w:tblHeader/>
        </w:trPr>
        <w:tc>
          <w:tcPr>
            <w:tcBorders>
              <w:top w:val="single" w:color="D1E8F0" w:sz="1"/>
              <w:left w:val="single" w:color="D1E8F0" w:sz="1"/>
              <w:bottom w:val="single" w:color="D1E8F0" w:sz="1"/>
              <w:right w:val="single" w:color="D1E8F0" w:sz="1"/>
            </w:tcBorders>
            <w:shd w:fill="065A8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Borders>
              <w:top w:val="single" w:color="D1E8F0" w:sz="1"/>
              <w:left w:val="single" w:color="D1E8F0" w:sz="1"/>
              <w:bottom w:val="single" w:color="D1E8F0" w:sz="1"/>
              <w:right w:val="single" w:color="D1E8F0" w:sz="1"/>
            </w:tcBorders>
            <w:shd w:fill="065A8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Cost (AUD)</w:t>
            </w:r>
          </w:p>
        </w:tc>
        <w:tc>
          <w:tcPr>
            <w:tcBorders>
              <w:top w:val="single" w:color="D1E8F0" w:sz="1"/>
              <w:left w:val="single" w:color="D1E8F0" w:sz="1"/>
              <w:bottom w:val="single" w:color="D1E8F0" w:sz="1"/>
              <w:right w:val="single" w:color="D1E8F0" w:sz="1"/>
            </w:tcBorders>
            <w:shd w:fill="065A8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Annual Cost (AUD)</w:t>
            </w:r>
          </w:p>
        </w:tc>
        <w:tc>
          <w:tcPr>
            <w:tcBorders>
              <w:top w:val="single" w:color="D1E8F0" w:sz="1"/>
              <w:left w:val="single" w:color="D1E8F0" w:sz="1"/>
              <w:bottom w:val="single" w:color="D1E8F0" w:sz="1"/>
              <w:right w:val="single" w:color="D1E8F0" w:sz="1"/>
            </w:tcBorders>
            <w:shd w:fill="065A82"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 of Revenue</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AWS Infrastructure</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$12,500</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$150,000</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0.84%</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Third-party APIs &amp; SaaS</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$11,760</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$141,120</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0.79%</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Engineering (ongoing)</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$60,000</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$720,000</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4.03%</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Customer Support</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$25,000</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$300,000</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1.68%</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Sales &amp; Marketing</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$45,000</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$540,000</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3.02%</w:t>
            </w:r>
          </w:p>
        </w:tc>
      </w:tr>
      <w:tr>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G&amp;A (legal, finance, office)</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$15,000</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$180,000</w:t>
            </w:r>
          </w:p>
        </w:tc>
        <w:tc>
          <w:tcPr>
            <w:tcBorders>
              <w:top w:val="single" w:color="D1E8F0" w:sz="1"/>
              <w:left w:val="single" w:color="D1E8F0" w:sz="1"/>
              <w:bottom w:val="single" w:color="D1E8F0" w:sz="1"/>
              <w:right w:val="single" w:color="D1E8F0" w:sz="1"/>
            </w:tcBorders>
            <w:tcMar>
              <w:top w:type="dxa" w:w="80"/>
              <w:left w:type="dxa" w:w="120"/>
              <w:bottom w:type="dxa" w:w="80"/>
              <w:right w:type="dxa" w:w="120"/>
            </w:tcMar>
          </w:tcPr>
          <w:p>
            <w:r>
              <w:rPr>
                <w:rFonts w:ascii="Arial" w:cs="Arial" w:eastAsia="Arial" w:hAnsi="Arial"/>
                <w:color w:val="1E293B"/>
                <w:sz w:val="20"/>
                <w:szCs w:val="20"/>
              </w:rPr>
              <w:t xml:space="preserve">1.01%</w:t>
            </w:r>
          </w:p>
        </w:tc>
      </w:tr>
      <w:tr>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TOTAL OpEx</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$169,260</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$2,031,120</w:t>
            </w:r>
          </w:p>
        </w:tc>
        <w:tc>
          <w:tcPr>
            <w:tcBorders>
              <w:top w:val="single" w:color="D1E8F0" w:sz="1"/>
              <w:left w:val="single" w:color="D1E8F0" w:sz="1"/>
              <w:bottom w:val="single" w:color="D1E8F0" w:sz="1"/>
              <w:right w:val="single" w:color="D1E8F0" w:sz="1"/>
            </w:tcBorders>
            <w:shd w:fill="F7FBFD" w:val="clear"/>
            <w:tcMar>
              <w:top w:type="dxa" w:w="80"/>
              <w:left w:type="dxa" w:w="120"/>
              <w:bottom w:type="dxa" w:w="80"/>
              <w:right w:type="dxa" w:w="120"/>
            </w:tcMar>
          </w:tcPr>
          <w:p>
            <w:r>
              <w:rPr>
                <w:rFonts w:ascii="Arial" w:cs="Arial" w:eastAsia="Arial" w:hAnsi="Arial"/>
                <w:color w:val="1E293B"/>
                <w:sz w:val="20"/>
                <w:szCs w:val="20"/>
              </w:rPr>
              <w:t xml:space="preserve">11.4%</w:t>
            </w:r>
          </w:p>
        </w:tc>
      </w:tr>
    </w:tbl>
    <w:p>
      <w:pPr>
        <w:spacing w:after="100"/>
      </w:pPr>
    </w:p>
    <w:p>
      <w:pPr>
        <w:pStyle w:val="Heading2"/>
        <w:spacing w:after="120" w:before="280"/>
      </w:pPr>
      <w:r>
        <w:rPr>
          <w:rFonts w:ascii="Arial" w:cs="Arial" w:eastAsia="Arial" w:hAnsi="Arial"/>
          <w:b/>
          <w:bCs/>
          <w:color w:val="065A82"/>
          <w:sz w:val="28"/>
          <w:szCs w:val="28"/>
        </w:rPr>
        <w:t xml:space="preserve">Unit Economics</w:t>
      </w:r>
    </w:p>
    <w:p>
      <w:pPr>
        <w:pStyle w:val="ListParagraph"/>
        <w:numPr>
          <w:ilvl w:val="0"/>
          <w:numId w:val="2"/>
        </w:numPr>
        <w:spacing w:after="80"/>
      </w:pPr>
      <w:r>
        <w:rPr>
          <w:rFonts w:ascii="Arial" w:cs="Arial" w:eastAsia="Arial" w:hAnsi="Arial"/>
          <w:b w:val="false"/>
          <w:bCs w:val="false"/>
          <w:color w:val="1E293B"/>
          <w:sz w:val="22"/>
          <w:szCs w:val="22"/>
        </w:rPr>
        <w:t xml:space="preserve">Revenue @ 10,000 tenants × $149 ARPU = $1,490,000/month = $17,880,000/year</w:t>
      </w:r>
    </w:p>
    <w:p>
      <w:pPr>
        <w:pStyle w:val="ListParagraph"/>
        <w:numPr>
          <w:ilvl w:val="0"/>
          <w:numId w:val="2"/>
        </w:numPr>
        <w:spacing w:after="80"/>
      </w:pPr>
      <w:r>
        <w:rPr>
          <w:rFonts w:ascii="Arial" w:cs="Arial" w:eastAsia="Arial" w:hAnsi="Arial"/>
          <w:b w:val="false"/>
          <w:bCs w:val="false"/>
          <w:color w:val="1E293B"/>
          <w:sz w:val="22"/>
          <w:szCs w:val="22"/>
        </w:rPr>
        <w:t xml:space="preserve">Platform infrastructure cost (AWS + APIs) = $24,260/month = 1.6% of revenue</w:t>
      </w:r>
    </w:p>
    <w:p>
      <w:pPr>
        <w:pStyle w:val="ListParagraph"/>
        <w:numPr>
          <w:ilvl w:val="0"/>
          <w:numId w:val="2"/>
        </w:numPr>
        <w:spacing w:after="80"/>
      </w:pPr>
      <w:r>
        <w:rPr>
          <w:rFonts w:ascii="Arial" w:cs="Arial" w:eastAsia="Arial" w:hAnsi="Arial"/>
          <w:b w:val="false"/>
          <w:bCs w:val="false"/>
          <w:color w:val="1E293B"/>
          <w:sz w:val="22"/>
          <w:szCs w:val="22"/>
        </w:rPr>
        <w:t xml:space="preserve">Full OpEx (including team) = $169,260/month = 11.4% of revenue</w:t>
      </w:r>
    </w:p>
    <w:p>
      <w:pPr>
        <w:pStyle w:val="ListParagraph"/>
        <w:numPr>
          <w:ilvl w:val="0"/>
          <w:numId w:val="2"/>
        </w:numPr>
        <w:spacing w:after="80"/>
      </w:pPr>
      <w:r>
        <w:rPr>
          <w:rFonts w:ascii="Arial" w:cs="Arial" w:eastAsia="Arial" w:hAnsi="Arial"/>
          <w:b w:val="false"/>
          <w:bCs w:val="false"/>
          <w:color w:val="1E293B"/>
          <w:sz w:val="22"/>
          <w:szCs w:val="22"/>
        </w:rPr>
        <w:t xml:space="preserve">Gross profit = $1,320,740/month = 88.6% gross margin</w:t>
      </w:r>
    </w:p>
    <w:p>
      <w:pPr>
        <w:spacing w:after="100"/>
      </w:pP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800"/>
      </w:tblGrid>
      <w:tr>
        <w:tc>
          <w:tcPr>
            <w:tcBorders>
              <w:top w:val="single" w:color="00A896" w:sz="4"/>
              <w:left w:val="single" w:color="00A896" w:sz="4"/>
              <w:bottom w:val="single" w:color="D1E8F0" w:sz="1"/>
              <w:right w:val="single" w:color="D1E8F0" w:sz="1"/>
            </w:tcBorders>
            <w:shd w:fill="EEF9F8" w:val="clear"/>
            <w:tcMar>
              <w:top w:type="dxa" w:w="120"/>
              <w:left w:type="dxa" w:w="180"/>
              <w:bottom w:type="dxa" w:w="120"/>
              <w:right w:type="dxa" w:w="120"/>
            </w:tcMar>
          </w:tcPr>
          <w:p>
            <w:pPr>
              <w:spacing w:after="80"/>
            </w:pPr>
            <w:r>
              <w:rPr>
                <w:rFonts w:ascii="Arial" w:cs="Arial" w:eastAsia="Arial" w:hAnsi="Arial"/>
                <w:b/>
                <w:bCs/>
                <w:color w:val="065A82"/>
                <w:sz w:val="22"/>
                <w:szCs w:val="22"/>
              </w:rPr>
              <w:t xml:space="preserve">Margin Excellence</w:t>
            </w:r>
          </w:p>
          <w:p>
            <w:pPr>
              <w:spacing w:after="60"/>
            </w:pPr>
            <w:r>
              <w:rPr>
                <w:rFonts w:ascii="Arial" w:cs="Arial" w:eastAsia="Arial" w:hAnsi="Arial"/>
                <w:color w:val="1E293B"/>
                <w:sz w:val="20"/>
                <w:szCs w:val="20"/>
              </w:rPr>
              <w:t xml:space="preserve">88% gross margin is exceptional for SaaS (industry average: 70–75%). This is achieved by:</w:t>
            </w:r>
          </w:p>
          <w:p>
            <w:pPr>
              <w:spacing w:after="60"/>
            </w:pPr>
            <w:r>
              <w:rPr>
                <w:rFonts w:ascii="Arial" w:cs="Arial" w:eastAsia="Arial" w:hAnsi="Arial"/>
                <w:color w:val="1E293B"/>
                <w:sz w:val="20"/>
                <w:szCs w:val="20"/>
              </w:rPr>
              <w:t xml:space="preserve">• Low infrastructure cost per tenant ($1.25/mo) through smart API choices</w:t>
            </w:r>
          </w:p>
          <w:p>
            <w:pPr>
              <w:spacing w:after="60"/>
            </w:pPr>
            <w:r>
              <w:rPr>
                <w:rFonts w:ascii="Arial" w:cs="Arial" w:eastAsia="Arial" w:hAnsi="Arial"/>
                <w:color w:val="1E293B"/>
                <w:sz w:val="20"/>
                <w:szCs w:val="20"/>
              </w:rPr>
              <w:t xml:space="preserve">• AI API cost optimization (model selection, caching, batching)</w:t>
            </w:r>
          </w:p>
          <w:p>
            <w:pPr>
              <w:spacing w:after="60"/>
            </w:pPr>
            <w:r>
              <w:rPr>
                <w:rFonts w:ascii="Arial" w:cs="Arial" w:eastAsia="Arial" w:hAnsi="Arial"/>
                <w:color w:val="1E293B"/>
                <w:sz w:val="20"/>
                <w:szCs w:val="20"/>
              </w:rPr>
              <w:t xml:space="preserve">• Managed services (no ops overhead for database, infrastructure, email)</w:t>
            </w:r>
          </w:p>
        </w:tc>
      </w:tr>
    </w:tbl>
    <w:p>
      <w:pPr>
        <w:spacing w:after="100"/>
      </w:pPr>
    </w:p>
    <w:p>
      <w:pPr>
        <w:pStyle w:val="Heading1"/>
        <w:pageBreakBefore/>
      </w:pPr>
      <w:r>
        <w:rPr>
          <w:rFonts w:ascii="Arial" w:cs="Arial" w:eastAsia="Arial" w:hAnsi="Arial"/>
          <w:b/>
          <w:bCs/>
          <w:color w:val="0D2B3E"/>
          <w:sz w:val="36"/>
          <w:szCs w:val="36"/>
        </w:rPr>
        <w:t xml:space="preserve">9. Final Recommendations</w:t>
      </w:r>
    </w:p>
    <w:p>
      <w:pPr>
        <w:spacing w:after="100"/>
      </w:pP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7800"/>
      </w:tblGrid>
      <w:tr>
        <w:tc>
          <w:tcPr>
            <w:tcBorders>
              <w:top w:val="single" w:color="00A896" w:sz="4"/>
              <w:left w:val="single" w:color="00A896" w:sz="4"/>
              <w:bottom w:val="single" w:color="D1E8F0" w:sz="1"/>
              <w:right w:val="single" w:color="D1E8F0" w:sz="1"/>
            </w:tcBorders>
            <w:shd w:fill="EEF9F8" w:val="clear"/>
            <w:tcMar>
              <w:top w:type="dxa" w:w="120"/>
              <w:left w:type="dxa" w:w="180"/>
              <w:bottom w:type="dxa" w:w="120"/>
              <w:right w:type="dxa" w:w="120"/>
            </w:tcMar>
          </w:tcPr>
          <w:p>
            <w:pPr>
              <w:spacing w:after="80"/>
            </w:pPr>
            <w:r>
              <w:rPr>
                <w:rFonts w:ascii="Arial" w:cs="Arial" w:eastAsia="Arial" w:hAnsi="Arial"/>
                <w:b/>
                <w:bCs/>
                <w:color w:val="065A82"/>
                <w:sz w:val="22"/>
                <w:szCs w:val="22"/>
              </w:rPr>
              <w:t xml:space="preserve">Build vs Buy Decision Summary</w:t>
            </w:r>
          </w:p>
          <w:p>
            <w:pPr>
              <w:spacing w:after="60"/>
            </w:pPr>
            <w:r>
              <w:rPr>
                <w:rFonts w:ascii="Arial" w:cs="Arial" w:eastAsia="Arial" w:hAnsi="Arial"/>
                <w:color w:val="1E293B"/>
                <w:sz w:val="20"/>
                <w:szCs w:val="20"/>
              </w:rPr>
              <w:t xml:space="preserve">BUILD: Campaign logic, tracker, AI orchestration, dashboard — these are Dolphi's moat</w:t>
            </w:r>
          </w:p>
          <w:p>
            <w:pPr>
              <w:spacing w:after="60"/>
            </w:pPr>
            <w:r>
              <w:rPr>
                <w:rFonts w:ascii="Arial" w:cs="Arial" w:eastAsia="Arial" w:hAnsi="Arial"/>
                <w:color w:val="1E293B"/>
                <w:sz w:val="20"/>
                <w:szCs w:val="20"/>
              </w:rPr>
              <w:t xml:space="preserve">BUY: Auth, payments, infrastructure, CDN, email delivery — commodity services</w:t>
            </w:r>
          </w:p>
          <w:p>
            <w:pPr>
              <w:spacing w:after="60"/>
            </w:pPr>
            <w:r>
              <w:rPr>
                <w:rFonts w:ascii="Arial" w:cs="Arial" w:eastAsia="Arial" w:hAnsi="Arial"/>
                <w:color w:val="1E293B"/>
                <w:sz w:val="20"/>
                <w:szCs w:val="20"/>
              </w:rPr>
              <w:t xml:space="preserve">BUILD-ON-TOP: Social APIs, AI models, accounting APIs — use official APIs, build our integration</w:t>
            </w:r>
          </w:p>
          <w:p>
            <w:pPr>
              <w:spacing w:after="60"/>
            </w:pPr>
            <w:r>
              <w:rPr>
                <w:rFonts w:ascii="Arial" w:cs="Arial" w:eastAsia="Arial" w:hAnsi="Arial"/>
                <w:color w:val="1E293B"/>
                <w:sz w:val="20"/>
                <w:szCs w:val="20"/>
              </w:rPr>
              <w:t xml:space="preserve">AVOID: Payments, email infrastructure, auth, CDN, keyword databases — cost 10x more to build</w:t>
            </w:r>
          </w:p>
          <w:p>
            <w:pPr>
              <w:spacing w:after="60"/>
            </w:pPr>
            <w:r>
              <w:rPr>
                <w:rFonts w:ascii="Arial" w:cs="Arial" w:eastAsia="Arial" w:hAnsi="Arial"/>
                <w:color w:val="1E293B"/>
                <w:sz w:val="20"/>
                <w:szCs w:val="20"/>
              </w:rPr>
              <w:t xml:space="preserve">MVP Strategy: Launch with core (campaign builder + AI) in 4 months. Use white-label partners for email/social in MVP. Replace with custom builds in Phase 2.</w:t>
            </w:r>
          </w:p>
          <w:p>
            <w:pPr>
              <w:spacing w:after="60"/>
            </w:pPr>
            <w:r>
              <w:rPr>
                <w:rFonts w:ascii="Arial" w:cs="Arial" w:eastAsia="Arial" w:hAnsi="Arial"/>
                <w:color w:val="1E293B"/>
                <w:sz w:val="20"/>
                <w:szCs w:val="20"/>
              </w:rPr>
              <w:t xml:space="preserve">Funding Path: $1.5M seed → $840K for 18-month build → 4-person team → 10K tenants → $17.9M ARR</w:t>
            </w:r>
          </w:p>
        </w:tc>
      </w:tr>
    </w:tbl>
    <w:p>
      <w:pPr>
        <w:spacing w:after="100"/>
      </w:pPr>
    </w:p>
    <w:p>
      <w:pPr>
        <w:spacing w:after="140"/>
      </w:pPr>
      <w:r>
        <w:rPr>
          <w:rFonts w:ascii="Arial" w:cs="Arial" w:eastAsia="Arial" w:hAnsi="Arial"/>
          <w:color w:val="1E293B"/>
          <w:sz w:val="22"/>
          <w:szCs w:val="22"/>
        </w:rPr>
        <w:t xml:space="preserve">This build-vs-buy strategy optimizes for fast market entry, sustainable unit economics, and engineering focus on differentiation. By outsourcing commodity infrastructure and buying proven solutions, we avoid 18+ months of non-differentiating work and maintain a lean engineering team.</w:t>
      </w:r>
    </w:p>
    <w:p>
      <w:pPr>
        <w:spacing w:after="100"/>
      </w:pPr>
    </w:p>
    <w:p>
      <w:pPr>
        <w:spacing w:after="100"/>
      </w:pPr>
    </w:p>
    <w:p>
      <w:pPr>
        <w:spacing w:after="140"/>
      </w:pPr>
      <w:r>
        <w:rPr>
          <w:rFonts w:ascii="Arial" w:cs="Arial" w:eastAsia="Arial" w:hAnsi="Arial"/>
          <w:i/>
          <w:iCs/>
          <w:color w:val="64748B"/>
          <w:sz w:val="22"/>
          <w:szCs w:val="22"/>
        </w:rPr>
        <w:t xml:space="preserve">Document prepared by the Dolphi Technology Team. For questions or feedback, contact tech@dolphi.com.au</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896" w:sz="4" w:space="4"/>
      </w:pBdr>
      <w:tabs>
        <w:tab w:val="right" w:pos="9360"/>
      </w:tabs>
    </w:pPr>
    <w:r>
      <w:rPr>
        <w:rFonts w:ascii="Arial" w:cs="Arial" w:eastAsia="Arial" w:hAnsi="Arial"/>
        <w:color w:val="64748B"/>
        <w:sz w:val="18"/>
        <w:szCs w:val="18"/>
      </w:rPr>
      <w:t xml:space="preserve">Dolphi Australia Pty Ltd  |  dolphi.com.au</w:t>
    </w:r>
    <w:r>
      <w:rPr>
        <w:rFonts w:ascii="Arial" w:cs="Arial" w:eastAsia="Arial" w:hAnsi="Arial"/>
        <w:color w:val="64748B"/>
        <w:sz w:val="18"/>
        <w:szCs w:val="18"/>
      </w:rPr>
      <w:t xml:space="preserve">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896" w:sz="4" w:space="8"/>
      </w:pBdr>
      <w:tabs>
        <w:tab w:val="right" w:pos="9360"/>
      </w:tabs>
    </w:pPr>
    <w:r>
      <w:rPr>
        <w:rFonts w:ascii="Arial" w:cs="Arial" w:eastAsia="Arial" w:hAnsi="Arial"/>
        <w:color w:val="64748B"/>
        <w:sz w:val="18"/>
        <w:szCs w:val="18"/>
      </w:rPr>
      <w:t xml:space="preserve">Dolphi Marketing Suite — Build vs Buy Analysis</w:t>
    </w:r>
    <w:r>
      <w:rPr>
        <w:rFonts w:ascii="Arial" w:cs="Arial" w:eastAsia="Arial" w:hAnsi="Arial"/>
        <w:color w:val="64748B"/>
        <w:sz w:val="18"/>
        <w:szCs w:val="18"/>
      </w:rPr>
      <w:t xml:space="preserve">	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D2B3E"/>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65A82"/>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0A8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2026-03-16T02:16:01.549Z</dcterms:created>
  <dcterms:modified xsi:type="dcterms:W3CDTF">2026-03-16T02:16:01.549Z</dcterms:modified>
</cp:coreProperties>
</file>

<file path=docProps/custom.xml><?xml version="1.0" encoding="utf-8"?>
<Properties xmlns="http://schemas.openxmlformats.org/officeDocument/2006/custom-properties" xmlns:vt="http://schemas.openxmlformats.org/officeDocument/2006/docPropsVTypes"/>
</file>