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Segoe UI Emoji" w:cs="Segoe UI Emoji" w:eastAsia="Segoe UI Emoji" w:hAnsi="Segoe UI Emoji"/>
          <w:sz w:val="80"/>
          <w:szCs w:val="80"/>
        </w:rPr>
        <w:t xml:space="preserve">🐬</w:t>
      </w:r>
    </w:p>
    <w:p>
      <w:pPr>
        <w:spacing w:after="120"/>
        <w:jc w:val="center"/>
      </w:pPr>
      <w:r>
        <w:rPr>
          <w:rFonts w:ascii="Arial" w:cs="Arial" w:eastAsia="Arial" w:hAnsi="Arial"/>
          <w:b/>
          <w:bCs/>
          <w:color w:val="0D2B3E"/>
          <w:sz w:val="52"/>
          <w:szCs w:val="52"/>
        </w:rPr>
        <w:t xml:space="preserve">DOLPHI MARKETING SUITE</w:t>
      </w:r>
    </w:p>
    <w:p>
      <w:pPr>
        <w:spacing w:after="400"/>
        <w:jc w:val="center"/>
      </w:pPr>
      <w:r>
        <w:rPr>
          <w:rFonts w:ascii="Arial" w:cs="Arial" w:eastAsia="Arial" w:hAnsi="Arial"/>
          <w:color w:val="065A82"/>
          <w:sz w:val="28"/>
          <w:szCs w:val="28"/>
        </w:rPr>
        <w:t xml:space="preserve">Scalability Architecture for 10,000 Businesses</w:t>
      </w:r>
    </w:p>
    <w:p>
      <w:pPr>
        <w:spacing w:after="200"/>
        <w:jc w:val="center"/>
      </w:pPr>
      <w:r>
        <w:rPr>
          <w:rFonts w:ascii="Arial" w:cs="Arial" w:eastAsia="Arial" w:hAnsi="Arial"/>
          <w:color w:val="64748B"/>
          <w:sz w:val="22"/>
          <w:szCs w:val="22"/>
        </w:rPr>
        <w:t xml:space="preserve">Version 1.0  |  March 2026  |  Confidential</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rPr>
          <w:rFonts w:ascii="Arial" w:cs="Arial" w:eastAsia="Arial" w:hAnsi="Arial"/>
          <w:b/>
          <w:bCs/>
          <w:color w:val="0D2B3E"/>
          <w:sz w:val="36"/>
          <w:szCs w:val="36"/>
        </w:rPr>
        <w:t xml:space="preserve">1. Executive Summary</w:t>
      </w:r>
    </w:p>
    <w:p>
      <w:pPr>
        <w:spacing w:after="140"/>
      </w:pPr>
      <w:r>
        <w:rPr>
          <w:rFonts w:ascii="Arial" w:cs="Arial" w:eastAsia="Arial" w:hAnsi="Arial"/>
          <w:color w:val="1E293B"/>
          <w:sz w:val="22"/>
          <w:szCs w:val="22"/>
        </w:rPr>
        <w:t xml:space="preserve">Dolphi Marketing Suite is architected to reliably serve 10,000 active business tenants concurrently. This document outlines the infrastructure, database strategy, integrations, and operational practices that enable this scale while maintaining cost-effectiveness and Australian data residency.</w:t>
      </w:r>
    </w:p>
    <w:p>
      <w:pPr>
        <w:spacing w:after="100"/>
      </w:pP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800"/>
      </w:tblGrid>
      <w:tr>
        <w:tc>
          <w:tcPr>
            <w:tcBorders>
              <w:top w:val="single" w:color="00A896" w:sz="4"/>
              <w:left w:val="single" w:color="00A896" w:sz="4"/>
              <w:bottom w:val="single" w:color="D1E8F0" w:sz="1"/>
              <w:right w:val="single" w:color="D1E8F0" w:sz="1"/>
            </w:tcBorders>
            <w:shd w:fill="EEF9F8" w:val="clear"/>
            <w:tcMar>
              <w:top w:type="dxa" w:w="120"/>
              <w:left w:type="dxa" w:w="180"/>
              <w:bottom w:type="dxa" w:w="120"/>
              <w:right w:type="dxa" w:w="120"/>
            </w:tcMar>
          </w:tcPr>
          <w:p>
            <w:pPr>
              <w:spacing w:after="80"/>
            </w:pPr>
            <w:r>
              <w:rPr>
                <w:rFonts w:ascii="Arial" w:cs="Arial" w:eastAsia="Arial" w:hAnsi="Arial"/>
                <w:b/>
                <w:bCs/>
                <w:color w:val="065A82"/>
                <w:sz w:val="22"/>
                <w:szCs w:val="22"/>
              </w:rPr>
              <w:t xml:space="preserve">Key Targets at 10,000 Tenants</w:t>
            </w:r>
          </w:p>
          <w:p>
            <w:pPr>
              <w:spacing w:after="60"/>
            </w:pPr>
            <w:r>
              <w:rPr>
                <w:rFonts w:ascii="Arial" w:cs="Arial" w:eastAsia="Arial" w:hAnsi="Arial"/>
                <w:color w:val="1E293B"/>
                <w:sz w:val="20"/>
                <w:szCs w:val="20"/>
              </w:rPr>
              <w:t xml:space="preserve">• API Response Time (p95): &lt;200ms</w:t>
            </w:r>
          </w:p>
          <w:p>
            <w:pPr>
              <w:spacing w:after="60"/>
            </w:pPr>
            <w:r>
              <w:rPr>
                <w:rFonts w:ascii="Arial" w:cs="Arial" w:eastAsia="Arial" w:hAnsi="Arial"/>
                <w:color w:val="1E293B"/>
                <w:sz w:val="20"/>
                <w:szCs w:val="20"/>
              </w:rPr>
              <w:t xml:space="preserve">• Platform Uptime: 99.95% SLA</w:t>
            </w:r>
          </w:p>
          <w:p>
            <w:pPr>
              <w:spacing w:after="60"/>
            </w:pPr>
            <w:r>
              <w:rPr>
                <w:rFonts w:ascii="Arial" w:cs="Arial" w:eastAsia="Arial" w:hAnsi="Arial"/>
                <w:color w:val="1E293B"/>
                <w:sz w:val="20"/>
                <w:szCs w:val="20"/>
              </w:rPr>
              <w:t xml:space="preserve">• AI Content Generation: &lt;30 seconds end-to-end</w:t>
            </w:r>
          </w:p>
          <w:p>
            <w:pPr>
              <w:spacing w:after="60"/>
            </w:pPr>
            <w:r>
              <w:rPr>
                <w:rFonts w:ascii="Arial" w:cs="Arial" w:eastAsia="Arial" w:hAnsi="Arial"/>
                <w:color w:val="1E293B"/>
                <w:sz w:val="20"/>
                <w:szCs w:val="20"/>
              </w:rPr>
              <w:t xml:space="preserve">• Concurrent Active Users: 10,000+ on platform</w:t>
            </w:r>
          </w:p>
          <w:p>
            <w:pPr>
              <w:spacing w:after="60"/>
            </w:pPr>
            <w:r>
              <w:rPr>
                <w:rFonts w:ascii="Arial" w:cs="Arial" w:eastAsia="Arial" w:hAnsi="Arial"/>
                <w:color w:val="1E293B"/>
                <w:sz w:val="20"/>
                <w:szCs w:val="20"/>
              </w:rPr>
              <w:t xml:space="preserve">• Monthly Infrastructure Cost: ~$12,480 ($1.50/tenant)</w:t>
            </w:r>
          </w:p>
          <w:p>
            <w:pPr>
              <w:spacing w:after="60"/>
            </w:pPr>
            <w:r>
              <w:rPr>
                <w:rFonts w:ascii="Arial" w:cs="Arial" w:eastAsia="Arial" w:hAnsi="Arial"/>
                <w:color w:val="1E293B"/>
                <w:sz w:val="20"/>
                <w:szCs w:val="20"/>
              </w:rPr>
              <w:t xml:space="preserve">• Australian Data Residency: AWS ap-southeast-2 (Sydney)</w:t>
            </w:r>
          </w:p>
        </w:tc>
      </w:tr>
    </w:tbl>
    <w:p>
      <w:pPr>
        <w:spacing w:after="100"/>
      </w:pPr>
    </w:p>
    <w:p>
      <w:pPr>
        <w:pStyle w:val="Heading2"/>
        <w:spacing w:after="120" w:before="280"/>
      </w:pPr>
      <w:r>
        <w:rPr>
          <w:rFonts w:ascii="Arial" w:cs="Arial" w:eastAsia="Arial" w:hAnsi="Arial"/>
          <w:b/>
          <w:bCs/>
          <w:color w:val="065A82"/>
          <w:sz w:val="28"/>
          <w:szCs w:val="28"/>
        </w:rPr>
        <w:t xml:space="preserve">1.1 Dolphi as Tenant #0001 (Dogfooding)</w:t>
      </w:r>
    </w:p>
    <w:p>
      <w:pPr>
        <w:spacing w:after="140"/>
      </w:pPr>
      <w:r>
        <w:rPr>
          <w:rFonts w:ascii="Arial" w:cs="Arial" w:eastAsia="Arial" w:hAnsi="Arial"/>
          <w:color w:val="1E293B"/>
          <w:sz w:val="22"/>
          <w:szCs w:val="22"/>
        </w:rPr>
        <w:t xml:space="preserve">Dolphi itself runs on the Dolphi platform as Tenant #0001. This means Dolphi's own marketing campaigns (social posts, email sequences, blog content, paid ads) are created and managed entirely within the product we sell. This approach serves three critical purposes:</w:t>
      </w:r>
    </w:p>
    <w:p>
      <w:pPr>
        <w:pStyle w:val="ListParagraph"/>
        <w:numPr>
          <w:ilvl w:val="0"/>
          <w:numId w:val="2"/>
        </w:numPr>
        <w:spacing w:after="80"/>
      </w:pPr>
      <w:r>
        <w:rPr>
          <w:rFonts w:ascii="Arial" w:cs="Arial" w:eastAsia="Arial" w:hAnsi="Arial"/>
          <w:b w:val="false"/>
          <w:bCs w:val="false"/>
          <w:color w:val="1E293B"/>
          <w:sz w:val="22"/>
          <w:szCs w:val="22"/>
        </w:rPr>
        <w:t xml:space="preserve">Product Validation — we immediately encounter and fix any scalability or usability issues before customers do</w:t>
      </w:r>
    </w:p>
    <w:p>
      <w:pPr>
        <w:pStyle w:val="ListParagraph"/>
        <w:numPr>
          <w:ilvl w:val="0"/>
          <w:numId w:val="2"/>
        </w:numPr>
        <w:spacing w:after="80"/>
      </w:pPr>
      <w:r>
        <w:rPr>
          <w:rFonts w:ascii="Arial" w:cs="Arial" w:eastAsia="Arial" w:hAnsi="Arial"/>
          <w:b w:val="false"/>
          <w:bCs w:val="false"/>
          <w:color w:val="1E293B"/>
          <w:sz w:val="22"/>
          <w:szCs w:val="22"/>
        </w:rPr>
        <w:t xml:space="preserve">Marketing &amp; Sales Proof — prospects see real-time results from Dolphi's own marketing, published publicly on our website</w:t>
      </w:r>
    </w:p>
    <w:p>
      <w:pPr>
        <w:pStyle w:val="ListParagraph"/>
        <w:numPr>
          <w:ilvl w:val="0"/>
          <w:numId w:val="2"/>
        </w:numPr>
        <w:spacing w:after="80"/>
      </w:pPr>
      <w:r>
        <w:rPr>
          <w:rFonts w:ascii="Arial" w:cs="Arial" w:eastAsia="Arial" w:hAnsi="Arial"/>
          <w:b w:val="false"/>
          <w:bCs w:val="false"/>
          <w:color w:val="1E293B"/>
          <w:sz w:val="22"/>
          <w:szCs w:val="22"/>
        </w:rPr>
        <w:t xml:space="preserve">Team Alignment — our marketing team is our first and most critical user, ensuring product decisions serve real customer needs</w:t>
      </w:r>
    </w:p>
    <w:p>
      <w:pPr>
        <w:spacing w:after="100"/>
      </w:pPr>
    </w:p>
    <w:p>
      <w:pPr>
        <w:pStyle w:val="Heading1"/>
        <w:pageBreakBefore/>
      </w:pPr>
      <w:r>
        <w:rPr>
          <w:rFonts w:ascii="Arial" w:cs="Arial" w:eastAsia="Arial" w:hAnsi="Arial"/>
          <w:b/>
          <w:bCs/>
          <w:color w:val="0D2B3E"/>
          <w:sz w:val="36"/>
          <w:szCs w:val="36"/>
        </w:rPr>
        <w:t xml:space="preserve">2. Multi-Tenancy Strategy</w:t>
      </w:r>
    </w:p>
    <w:p>
      <w:pPr>
        <w:pStyle w:val="Heading2"/>
        <w:spacing w:after="120" w:before="280"/>
      </w:pPr>
      <w:r>
        <w:rPr>
          <w:rFonts w:ascii="Arial" w:cs="Arial" w:eastAsia="Arial" w:hAnsi="Arial"/>
          <w:b/>
          <w:bCs/>
          <w:color w:val="065A82"/>
          <w:sz w:val="28"/>
          <w:szCs w:val="28"/>
        </w:rPr>
        <w:t xml:space="preserve">2.1 Chosen Approach: Shared Database with Row-Level Security</w:t>
      </w:r>
    </w:p>
    <w:p>
      <w:pPr>
        <w:spacing w:after="140"/>
      </w:pPr>
      <w:r>
        <w:rPr>
          <w:rFonts w:ascii="Arial" w:cs="Arial" w:eastAsia="Arial" w:hAnsi="Arial"/>
          <w:color w:val="1E293B"/>
          <w:sz w:val="22"/>
          <w:szCs w:val="22"/>
        </w:rPr>
        <w:t xml:space="preserve">Dolphi uses a single PostgreSQL database shared across all tenants, with tenant isolation enforced via PostgreSQL Row-Level Security (RLS) policies. This approach is superior to schema-per-tenant or separate databases for our use case:</w:t>
      </w:r>
    </w:p>
    <w:p>
      <w:pPr>
        <w:spacing w:after="100"/>
      </w:pP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800"/>
      </w:tblGrid>
      <w:tr>
        <w:tc>
          <w:tcPr>
            <w:tcBorders>
              <w:top w:val="single" w:color="00A896" w:sz="4"/>
              <w:left w:val="single" w:color="00A896" w:sz="4"/>
              <w:bottom w:val="single" w:color="D1E8F0" w:sz="1"/>
              <w:right w:val="single" w:color="D1E8F0" w:sz="1"/>
            </w:tcBorders>
            <w:shd w:fill="EEF9F8" w:val="clear"/>
            <w:tcMar>
              <w:top w:type="dxa" w:w="120"/>
              <w:left w:type="dxa" w:w="180"/>
              <w:bottom w:type="dxa" w:w="120"/>
              <w:right w:type="dxa" w:w="120"/>
            </w:tcMar>
          </w:tcPr>
          <w:p>
            <w:pPr>
              <w:spacing w:after="80"/>
            </w:pPr>
            <w:r>
              <w:rPr>
                <w:rFonts w:ascii="Arial" w:cs="Arial" w:eastAsia="Arial" w:hAnsi="Arial"/>
                <w:b/>
                <w:bCs/>
                <w:color w:val="065A82"/>
                <w:sz w:val="22"/>
                <w:szCs w:val="22"/>
              </w:rPr>
              <w:t xml:space="preserve">Why Shared Database with RLS?</w:t>
            </w:r>
          </w:p>
          <w:p>
            <w:pPr>
              <w:spacing w:after="60"/>
            </w:pPr>
            <w:r>
              <w:rPr>
                <w:rFonts w:ascii="Arial" w:cs="Arial" w:eastAsia="Arial" w:hAnsi="Arial"/>
                <w:color w:val="1E293B"/>
                <w:sz w:val="20"/>
                <w:szCs w:val="20"/>
              </w:rPr>
              <w:t xml:space="preserve">• Cost: 1 Aurora database cluster vs 10,000 separate databases</w:t>
            </w:r>
          </w:p>
          <w:p>
            <w:pPr>
              <w:spacing w:after="60"/>
            </w:pPr>
            <w:r>
              <w:rPr>
                <w:rFonts w:ascii="Arial" w:cs="Arial" w:eastAsia="Arial" w:hAnsi="Arial"/>
                <w:color w:val="1E293B"/>
                <w:sz w:val="20"/>
                <w:szCs w:val="20"/>
              </w:rPr>
              <w:t xml:space="preserve">• Operational Overhead: single backup, monitoring, upgrade cycle</w:t>
            </w:r>
          </w:p>
          <w:p>
            <w:pPr>
              <w:spacing w:after="60"/>
            </w:pPr>
            <w:r>
              <w:rPr>
                <w:rFonts w:ascii="Arial" w:cs="Arial" w:eastAsia="Arial" w:hAnsi="Arial"/>
                <w:color w:val="1E293B"/>
                <w:sz w:val="20"/>
                <w:szCs w:val="20"/>
              </w:rPr>
              <w:t xml:space="preserve">• Shared Infrastructure: one read replica cluster serves all tenants</w:t>
            </w:r>
          </w:p>
          <w:p>
            <w:pPr>
              <w:spacing w:after="60"/>
            </w:pPr>
            <w:r>
              <w:rPr>
                <w:rFonts w:ascii="Arial" w:cs="Arial" w:eastAsia="Arial" w:hAnsi="Arial"/>
                <w:color w:val="1E293B"/>
                <w:sz w:val="20"/>
                <w:szCs w:val="20"/>
              </w:rPr>
              <w:t xml:space="preserve">• Security: RLS policies are enforced at database level, not application level</w:t>
            </w:r>
          </w:p>
          <w:p>
            <w:pPr>
              <w:spacing w:after="60"/>
            </w:pPr>
            <w:r>
              <w:rPr>
                <w:rFonts w:ascii="Arial" w:cs="Arial" w:eastAsia="Arial" w:hAnsi="Arial"/>
                <w:color w:val="1E293B"/>
                <w:sz w:val="20"/>
                <w:szCs w:val="20"/>
              </w:rPr>
              <w:t xml:space="preserve">• Simplicity: no cross-tenant schema migrations or version management</w:t>
            </w:r>
          </w:p>
          <w:p>
            <w:pPr>
              <w:spacing w:after="60"/>
            </w:pPr>
            <w:r>
              <w:rPr>
                <w:rFonts w:ascii="Arial" w:cs="Arial" w:eastAsia="Arial" w:hAnsi="Arial"/>
                <w:color w:val="1E293B"/>
                <w:sz w:val="20"/>
                <w:szCs w:val="20"/>
              </w:rPr>
              <w:t xml:space="preserve">• Scale: Aurora Serverless handles spikes in a single cluster</w:t>
            </w:r>
          </w:p>
        </w:tc>
      </w:tr>
    </w:tbl>
    <w:p>
      <w:pPr>
        <w:spacing w:after="100"/>
      </w:pPr>
    </w:p>
    <w:p>
      <w:pPr>
        <w:pStyle w:val="Heading2"/>
        <w:spacing w:after="120" w:before="280"/>
      </w:pPr>
      <w:r>
        <w:rPr>
          <w:rFonts w:ascii="Arial" w:cs="Arial" w:eastAsia="Arial" w:hAnsi="Arial"/>
          <w:b/>
          <w:bCs/>
          <w:color w:val="065A82"/>
          <w:sz w:val="28"/>
          <w:szCs w:val="28"/>
        </w:rPr>
        <w:t xml:space="preserve">2.2 Tenant Isolation via RLS</w:t>
      </w:r>
    </w:p>
    <w:p>
      <w:pPr>
        <w:spacing w:after="140"/>
      </w:pPr>
      <w:r>
        <w:rPr>
          <w:rFonts w:ascii="Arial" w:cs="Arial" w:eastAsia="Arial" w:hAnsi="Arial"/>
          <w:color w:val="1E293B"/>
          <w:sz w:val="22"/>
          <w:szCs w:val="22"/>
        </w:rPr>
        <w:t xml:space="preserve">Every table in the database includes a tenant_id column (UUID, NOT NULL). PostgreSQL RLS policies automatically filter all queries by the current tenant. Example:</w:t>
      </w:r>
    </w:p>
    <w:p>
      <w:pPr>
        <w:spacing w:after="100"/>
      </w:pPr>
    </w:p>
    <w:p>
      <w:pPr>
        <w:pBdr>
          <w:left w:val="single" w:color="00A896" w:sz="8"/>
        </w:pBdr>
        <w:spacing w:after="120" w:before="120"/>
        <w:ind w:left="360"/>
      </w:pPr>
      <w:r>
        <w:rPr>
          <w:rFonts w:ascii="Courier New" w:cs="Courier New" w:eastAsia="Courier New" w:hAnsi="Courier New"/>
          <w:color w:val="065A82"/>
          <w:sz w:val="20"/>
          <w:szCs w:val="20"/>
        </w:rPr>
        <w:t xml:space="preserve">CREATE POLICY tenant_isolation ON campaigns
  USING (tenant_id = current_setting('app.tenant_id')::uuid);</w:t>
      </w:r>
    </w:p>
    <w:p>
      <w:pPr>
        <w:spacing w:after="100"/>
      </w:pPr>
    </w:p>
    <w:p>
      <w:pPr>
        <w:spacing w:after="140"/>
      </w:pPr>
      <w:r>
        <w:rPr>
          <w:rFonts w:ascii="Arial" w:cs="Arial" w:eastAsia="Arial" w:hAnsi="Arial"/>
          <w:color w:val="1E293B"/>
          <w:sz w:val="22"/>
          <w:szCs w:val="22"/>
        </w:rPr>
        <w:t xml:space="preserve">The application sets the tenant_id at connection time using SET app.tenant_id = 'xxxx-xxxx-...'. All queries automatically include the WHERE clause without any code changes.</w:t>
      </w:r>
    </w:p>
    <w:p>
      <w:pPr>
        <w:spacing w:after="100"/>
      </w:pPr>
    </w:p>
    <w:p>
      <w:pPr>
        <w:pStyle w:val="Heading2"/>
        <w:spacing w:after="120" w:before="280"/>
      </w:pPr>
      <w:r>
        <w:rPr>
          <w:rFonts w:ascii="Arial" w:cs="Arial" w:eastAsia="Arial" w:hAnsi="Arial"/>
          <w:b/>
          <w:bCs/>
          <w:color w:val="065A82"/>
          <w:sz w:val="28"/>
          <w:szCs w:val="28"/>
        </w:rPr>
        <w:t xml:space="preserve">2.3 Tenant Onboarding</w:t>
      </w:r>
    </w:p>
    <w:p>
      <w:pPr>
        <w:spacing w:after="140"/>
      </w:pPr>
      <w:r>
        <w:rPr>
          <w:rFonts w:ascii="Arial" w:cs="Arial" w:eastAsia="Arial" w:hAnsi="Arial"/>
          <w:color w:val="1E293B"/>
          <w:sz w:val="22"/>
          <w:szCs w:val="22"/>
        </w:rPr>
        <w:t xml:space="preserve">New tenant provisioning is fully automated and completes in under 5 seconds:</w:t>
      </w:r>
    </w:p>
    <w:p>
      <w:pPr>
        <w:pStyle w:val="ListParagraph"/>
        <w:numPr>
          <w:ilvl w:val="0"/>
          <w:numId w:val="2"/>
        </w:numPr>
        <w:spacing w:after="80"/>
      </w:pPr>
      <w:r>
        <w:rPr>
          <w:rFonts w:ascii="Arial" w:cs="Arial" w:eastAsia="Arial" w:hAnsi="Arial"/>
          <w:b w:val="false"/>
          <w:bCs w:val="false"/>
          <w:color w:val="1E293B"/>
          <w:sz w:val="22"/>
          <w:szCs w:val="22"/>
        </w:rPr>
        <w:t xml:space="preserve">User completes signup form (business name, email, password, ABN)</w:t>
      </w:r>
    </w:p>
    <w:p>
      <w:pPr>
        <w:pStyle w:val="ListParagraph"/>
        <w:numPr>
          <w:ilvl w:val="0"/>
          <w:numId w:val="2"/>
        </w:numPr>
        <w:spacing w:after="80"/>
      </w:pPr>
      <w:r>
        <w:rPr>
          <w:rFonts w:ascii="Arial" w:cs="Arial" w:eastAsia="Arial" w:hAnsi="Arial"/>
          <w:b w:val="false"/>
          <w:bCs w:val="false"/>
          <w:color w:val="1E293B"/>
          <w:sz w:val="22"/>
          <w:szCs w:val="22"/>
        </w:rPr>
        <w:t xml:space="preserve">Application creates row in tenants table with UUID</w:t>
      </w:r>
    </w:p>
    <w:p>
      <w:pPr>
        <w:pStyle w:val="ListParagraph"/>
        <w:numPr>
          <w:ilvl w:val="0"/>
          <w:numId w:val="2"/>
        </w:numPr>
        <w:spacing w:after="80"/>
      </w:pPr>
      <w:r>
        <w:rPr>
          <w:rFonts w:ascii="Arial" w:cs="Arial" w:eastAsia="Arial" w:hAnsi="Arial"/>
          <w:b w:val="false"/>
          <w:bCs w:val="false"/>
          <w:color w:val="1E293B"/>
          <w:sz w:val="22"/>
          <w:szCs w:val="22"/>
        </w:rPr>
        <w:t xml:space="preserve">RLS policies are already in place — no schema changes needed</w:t>
      </w:r>
    </w:p>
    <w:p>
      <w:pPr>
        <w:pStyle w:val="ListParagraph"/>
        <w:numPr>
          <w:ilvl w:val="0"/>
          <w:numId w:val="2"/>
        </w:numPr>
        <w:spacing w:after="80"/>
      </w:pPr>
      <w:r>
        <w:rPr>
          <w:rFonts w:ascii="Arial" w:cs="Arial" w:eastAsia="Arial" w:hAnsi="Arial"/>
          <w:b w:val="false"/>
          <w:bCs w:val="false"/>
          <w:color w:val="1E293B"/>
          <w:sz w:val="22"/>
          <w:szCs w:val="22"/>
        </w:rPr>
        <w:t xml:space="preserve">User is assigned Owner role and can immediately create campaigns</w:t>
      </w:r>
    </w:p>
    <w:p>
      <w:pPr>
        <w:spacing w:after="100"/>
      </w:pPr>
    </w:p>
    <w:p>
      <w:pPr>
        <w:pStyle w:val="Heading2"/>
        <w:spacing w:after="120" w:before="280"/>
      </w:pPr>
      <w:r>
        <w:rPr>
          <w:rFonts w:ascii="Arial" w:cs="Arial" w:eastAsia="Arial" w:hAnsi="Arial"/>
          <w:b/>
          <w:bCs/>
          <w:color w:val="065A82"/>
          <w:sz w:val="28"/>
          <w:szCs w:val="28"/>
        </w:rPr>
        <w:t xml:space="preserve">2.4 Data Isolation Guarantees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800"/>
      </w:tblGrid>
      <w:tr>
        <w:tc>
          <w:tcPr>
            <w:tcBorders>
              <w:top w:val="single" w:color="00A896" w:sz="4"/>
              <w:left w:val="single" w:color="00A896" w:sz="4"/>
              <w:bottom w:val="single" w:color="D1E8F0" w:sz="1"/>
              <w:right w:val="single" w:color="D1E8F0" w:sz="1"/>
            </w:tcBorders>
            <w:shd w:fill="EEF9F8" w:val="clear"/>
            <w:tcMar>
              <w:top w:type="dxa" w:w="120"/>
              <w:left w:type="dxa" w:w="180"/>
              <w:bottom w:type="dxa" w:w="120"/>
              <w:right w:type="dxa" w:w="120"/>
            </w:tcMar>
          </w:tcPr>
          <w:p>
            <w:pPr>
              <w:spacing w:after="80"/>
            </w:pPr>
            <w:r>
              <w:rPr>
                <w:rFonts w:ascii="Arial" w:cs="Arial" w:eastAsia="Arial" w:hAnsi="Arial"/>
                <w:b/>
                <w:bCs/>
                <w:color w:val="065A82"/>
                <w:sz w:val="22"/>
                <w:szCs w:val="22"/>
              </w:rPr>
              <w:t xml:space="preserve">Data Isolation Layers</w:t>
            </w:r>
          </w:p>
          <w:p>
            <w:pPr>
              <w:spacing w:after="60"/>
            </w:pPr>
            <w:r>
              <w:rPr>
                <w:rFonts w:ascii="Arial" w:cs="Arial" w:eastAsia="Arial" w:hAnsi="Arial"/>
                <w:color w:val="1E293B"/>
                <w:sz w:val="20"/>
                <w:szCs w:val="20"/>
              </w:rPr>
              <w:t xml:space="preserve">• RLS Policies: enforced at database query level</w:t>
            </w:r>
          </w:p>
          <w:p>
            <w:pPr>
              <w:spacing w:after="60"/>
            </w:pPr>
            <w:r>
              <w:rPr>
                <w:rFonts w:ascii="Arial" w:cs="Arial" w:eastAsia="Arial" w:hAnsi="Arial"/>
                <w:color w:val="1E293B"/>
                <w:sz w:val="20"/>
                <w:szCs w:val="20"/>
              </w:rPr>
              <w:t xml:space="preserve">• Connection Pooling: PgBouncer maintains per-tier pool sizes to prevent resource hogging</w:t>
            </w:r>
          </w:p>
          <w:p>
            <w:pPr>
              <w:spacing w:after="60"/>
            </w:pPr>
            <w:r>
              <w:rPr>
                <w:rFonts w:ascii="Arial" w:cs="Arial" w:eastAsia="Arial" w:hAnsi="Arial"/>
                <w:color w:val="1E293B"/>
                <w:sz w:val="20"/>
                <w:szCs w:val="20"/>
              </w:rPr>
              <w:t xml:space="preserve">• Encryption: all OAuth tokens and sensitive data encrypted AES-256 at rest</w:t>
            </w:r>
          </w:p>
          <w:p>
            <w:pPr>
              <w:spacing w:after="60"/>
            </w:pPr>
            <w:r>
              <w:rPr>
                <w:rFonts w:ascii="Arial" w:cs="Arial" w:eastAsia="Arial" w:hAnsi="Arial"/>
                <w:color w:val="1E293B"/>
                <w:sz w:val="20"/>
                <w:szCs w:val="20"/>
              </w:rPr>
              <w:t xml:space="preserve">• Audit Log: all tenant data access logged to immutable CloudWatch log group</w:t>
            </w:r>
          </w:p>
          <w:p>
            <w:pPr>
              <w:spacing w:after="60"/>
            </w:pPr>
            <w:r>
              <w:rPr>
                <w:rFonts w:ascii="Arial" w:cs="Arial" w:eastAsia="Arial" w:hAnsi="Arial"/>
                <w:color w:val="1E293B"/>
                <w:sz w:val="20"/>
                <w:szCs w:val="20"/>
              </w:rPr>
              <w:t xml:space="preserve">• Network: VPC with no direct internet access to database — all queries via API only</w:t>
            </w:r>
          </w:p>
        </w:tc>
      </w:tr>
    </w:tbl>
    <w:p>
      <w:pPr>
        <w:spacing w:after="100"/>
      </w:pPr>
    </w:p>
    <w:p>
      <w:pPr>
        <w:pStyle w:val="Heading2"/>
        <w:spacing w:after="120" w:before="280"/>
      </w:pPr>
      <w:r>
        <w:rPr>
          <w:rFonts w:ascii="Arial" w:cs="Arial" w:eastAsia="Arial" w:hAnsi="Arial"/>
          <w:b/>
          <w:bCs/>
          <w:color w:val="065A82"/>
          <w:sz w:val="28"/>
          <w:szCs w:val="28"/>
        </w:rPr>
        <w:t xml:space="preserve">2.5 Dolphi Special Flags</w:t>
      </w:r>
    </w:p>
    <w:p>
      <w:pPr>
        <w:spacing w:after="140"/>
      </w:pPr>
      <w:r>
        <w:rPr>
          <w:rFonts w:ascii="Arial" w:cs="Arial" w:eastAsia="Arial" w:hAnsi="Arial"/>
          <w:color w:val="1E293B"/>
          <w:sz w:val="22"/>
          <w:szCs w:val="22"/>
        </w:rPr>
        <w:t xml:space="preserve">Dolphi itself (Tenant #0001) has special flags in the tenants table:</w:t>
      </w:r>
    </w:p>
    <w:p>
      <w:pPr>
        <w:pStyle w:val="ListParagraph"/>
        <w:numPr>
          <w:ilvl w:val="0"/>
          <w:numId w:val="2"/>
        </w:numPr>
        <w:spacing w:after="80"/>
      </w:pPr>
      <w:r>
        <w:rPr>
          <w:rFonts w:ascii="Arial" w:cs="Arial" w:eastAsia="Arial" w:hAnsi="Arial"/>
          <w:b w:val="false"/>
          <w:bCs w:val="false"/>
          <w:color w:val="1E293B"/>
          <w:sz w:val="22"/>
          <w:szCs w:val="22"/>
        </w:rPr>
        <w:t xml:space="preserve">is_internal=true — identifies as Dolphi internal account</w:t>
      </w:r>
    </w:p>
    <w:p>
      <w:pPr>
        <w:pStyle w:val="ListParagraph"/>
        <w:numPr>
          <w:ilvl w:val="0"/>
          <w:numId w:val="2"/>
        </w:numPr>
        <w:spacing w:after="80"/>
      </w:pPr>
      <w:r>
        <w:rPr>
          <w:rFonts w:ascii="Arial" w:cs="Arial" w:eastAsia="Arial" w:hAnsi="Arial"/>
          <w:b w:val="false"/>
          <w:bCs w:val="false"/>
          <w:color w:val="1E293B"/>
          <w:sz w:val="22"/>
          <w:szCs w:val="22"/>
        </w:rPr>
        <w:t xml:space="preserve">demo_mode_available=true — can be used for prospect demos without affecting real data</w:t>
      </w:r>
    </w:p>
    <w:p>
      <w:pPr>
        <w:pStyle w:val="ListParagraph"/>
        <w:numPr>
          <w:ilvl w:val="0"/>
          <w:numId w:val="2"/>
        </w:numPr>
        <w:spacing w:after="80"/>
      </w:pPr>
      <w:r>
        <w:rPr>
          <w:rFonts w:ascii="Arial" w:cs="Arial" w:eastAsia="Arial" w:hAnsi="Arial"/>
          <w:b w:val="false"/>
          <w:bCs w:val="false"/>
          <w:color w:val="1E293B"/>
          <w:sz w:val="22"/>
          <w:szCs w:val="22"/>
        </w:rPr>
        <w:t xml:space="preserve">featured=true — marketing metrics published on public website</w:t>
      </w:r>
    </w:p>
    <w:p>
      <w:pPr>
        <w:spacing w:after="100"/>
      </w:pPr>
    </w:p>
    <w:p>
      <w:pPr>
        <w:pStyle w:val="Heading1"/>
        <w:pageBreakBefore/>
      </w:pPr>
      <w:r>
        <w:rPr>
          <w:rFonts w:ascii="Arial" w:cs="Arial" w:eastAsia="Arial" w:hAnsi="Arial"/>
          <w:b/>
          <w:bCs/>
          <w:color w:val="0D2B3E"/>
          <w:sz w:val="36"/>
          <w:szCs w:val="36"/>
        </w:rPr>
        <w:t xml:space="preserve">3. Infrastructure at 10,000 Tenants</w:t>
      </w:r>
    </w:p>
    <w:p>
      <w:pPr>
        <w:spacing w:after="140"/>
      </w:pPr>
      <w:r>
        <w:rPr>
          <w:rFonts w:ascii="Arial" w:cs="Arial" w:eastAsia="Arial" w:hAnsi="Arial"/>
          <w:color w:val="1E293B"/>
          <w:sz w:val="22"/>
          <w:szCs w:val="22"/>
        </w:rPr>
        <w:t xml:space="preserve">All infrastructure is deployed in AWS ap-southeast-2 (Sydney region) to meet Australian data residency requirements and provide low-latency access to local users.</w:t>
      </w:r>
    </w:p>
    <w:p>
      <w:pPr>
        <w:spacing w:after="100"/>
      </w:pPr>
    </w:p>
    <w:p>
      <w:pPr>
        <w:pStyle w:val="Heading2"/>
        <w:spacing w:after="120" w:before="280"/>
      </w:pPr>
      <w:r>
        <w:rPr>
          <w:rFonts w:ascii="Arial" w:cs="Arial" w:eastAsia="Arial" w:hAnsi="Arial"/>
          <w:b/>
          <w:bCs/>
          <w:color w:val="065A82"/>
          <w:sz w:val="28"/>
          <w:szCs w:val="28"/>
        </w:rPr>
        <w:t xml:space="preserve">3.1 Infrastructure Bill of Materials</w:t>
      </w:r>
    </w:p>
    <w:tbl>
      <w:tblPr>
        <w:tblW w:type="dxa" w:w="768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2760"/>
        <w:gridCol w:w="1560"/>
      </w:tblGrid>
      <w:tr>
        <w:trPr>
          <w:tblHeader/>
        </w:trPr>
        <w:tc>
          <w:tcPr>
            <w:tcBorders>
              <w:top w:val="single" w:color="D1E8F0" w:sz="1"/>
              <w:left w:val="single" w:color="D1E8F0" w:sz="1"/>
              <w:bottom w:val="single" w:color="D1E8F0" w:sz="1"/>
              <w:right w:val="single" w:color="D1E8F0" w:sz="1"/>
            </w:tcBorders>
            <w:shd w:fill="065A8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Borders>
              <w:top w:val="single" w:color="D1E8F0" w:sz="1"/>
              <w:left w:val="single" w:color="D1E8F0" w:sz="1"/>
              <w:bottom w:val="single" w:color="D1E8F0" w:sz="1"/>
              <w:right w:val="single" w:color="D1E8F0" w:sz="1"/>
            </w:tcBorders>
            <w:shd w:fill="065A8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Borders>
              <w:top w:val="single" w:color="D1E8F0" w:sz="1"/>
              <w:left w:val="single" w:color="D1E8F0" w:sz="1"/>
              <w:bottom w:val="single" w:color="D1E8F0" w:sz="1"/>
              <w:right w:val="single" w:color="D1E8F0" w:sz="1"/>
            </w:tcBorders>
            <w:shd w:fill="065A8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Config at 10K Tenants</w:t>
            </w:r>
          </w:p>
        </w:tc>
        <w:tc>
          <w:tcPr>
            <w:tcBorders>
              <w:top w:val="single" w:color="D1E8F0" w:sz="1"/>
              <w:left w:val="single" w:color="D1E8F0" w:sz="1"/>
              <w:bottom w:val="single" w:color="D1E8F0" w:sz="1"/>
              <w:right w:val="single" w:color="D1E8F0" w:sz="1"/>
            </w:tcBorders>
            <w:shd w:fill="065A8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Cost</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API Services</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ECS Fargate + Node.js</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4–20 tasks, auto-scale at 70% CPU</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$2,400</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AI Service</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ECS Fargate + Python FastAPI</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2–8 GPU-enabled tasks</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$1,800</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Database Primary</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Aurora PostgreSQL v2</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16 → 128 ACU auto-scale</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$3,200</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Read Replicas</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Aurora Read Replica x2</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Always-on, cross-AZ</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$1,800</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Cache Layer</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Redis ElastiCache (cluster)</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3-node r6g.large cluster</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$960</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Job Queue</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SQS + Bull workers</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20 worker tasks, priority queues</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$400</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Email Delivery</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Amazon SES</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5M sends/month capacity</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$500</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File Storage</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S3 + CloudFront CDN</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Unlimited, pay per GB + transfer</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$620</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Monitoring</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CloudWatch + Datadog APM</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Full metrics, traces, logs</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$800</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Total</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$12,480/mo</w:t>
            </w:r>
          </w:p>
        </w:tc>
      </w:tr>
    </w:tbl>
    <w:p>
      <w:pPr>
        <w:spacing w:after="100"/>
      </w:pP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800"/>
      </w:tblGrid>
      <w:tr>
        <w:tc>
          <w:tcPr>
            <w:tcBorders>
              <w:top w:val="single" w:color="00A896" w:sz="4"/>
              <w:left w:val="single" w:color="00A896" w:sz="4"/>
              <w:bottom w:val="single" w:color="D1E8F0" w:sz="1"/>
              <w:right w:val="single" w:color="D1E8F0" w:sz="1"/>
            </w:tcBorders>
            <w:shd w:fill="EEF9F8" w:val="clear"/>
            <w:tcMar>
              <w:top w:type="dxa" w:w="120"/>
              <w:left w:type="dxa" w:w="180"/>
              <w:bottom w:type="dxa" w:w="120"/>
              <w:right w:type="dxa" w:w="120"/>
            </w:tcMar>
          </w:tcPr>
          <w:p>
            <w:pPr>
              <w:spacing w:after="80"/>
            </w:pPr>
            <w:r>
              <w:rPr>
                <w:rFonts w:ascii="Arial" w:cs="Arial" w:eastAsia="Arial" w:hAnsi="Arial"/>
                <w:b/>
                <w:bCs/>
                <w:color w:val="065A82"/>
                <w:sz w:val="22"/>
                <w:szCs w:val="22"/>
              </w:rPr>
              <w:t xml:space="preserve">Cost Per Tenant</w:t>
            </w:r>
          </w:p>
          <w:p>
            <w:pPr>
              <w:spacing w:after="60"/>
            </w:pPr>
            <w:r>
              <w:rPr>
                <w:rFonts w:ascii="Arial" w:cs="Arial" w:eastAsia="Arial" w:hAnsi="Arial"/>
                <w:color w:val="1E293B"/>
                <w:sz w:val="20"/>
                <w:szCs w:val="20"/>
              </w:rPr>
              <w:t xml:space="preserve">• At 10,000 tenants: $12,480 / 10,000 = $1.25/tenant/month infrastructure</w:t>
            </w:r>
          </w:p>
          <w:p>
            <w:pPr>
              <w:spacing w:after="60"/>
            </w:pPr>
            <w:r>
              <w:rPr>
                <w:rFonts w:ascii="Arial" w:cs="Arial" w:eastAsia="Arial" w:hAnsi="Arial"/>
                <w:color w:val="1E293B"/>
                <w:sz w:val="20"/>
                <w:szCs w:val="20"/>
              </w:rPr>
              <w:t xml:space="preserve">• Average revenue per tenant at Pro plan: $149/month</w:t>
            </w:r>
          </w:p>
          <w:p>
            <w:pPr>
              <w:spacing w:after="60"/>
            </w:pPr>
            <w:r>
              <w:rPr>
                <w:rFonts w:ascii="Arial" w:cs="Arial" w:eastAsia="Arial" w:hAnsi="Arial"/>
                <w:color w:val="1E293B"/>
                <w:sz w:val="20"/>
                <w:szCs w:val="20"/>
              </w:rPr>
              <w:t xml:space="preserve">• Infrastructure cost as % of revenue: 0.84% (98.7% gross margin)</w:t>
            </w:r>
          </w:p>
        </w:tc>
      </w:tr>
    </w:tbl>
    <w:p>
      <w:pPr>
        <w:spacing w:after="100"/>
      </w:pPr>
    </w:p>
    <w:p>
      <w:pPr>
        <w:pStyle w:val="Heading1"/>
        <w:pageBreakBefore/>
      </w:pPr>
      <w:r>
        <w:rPr>
          <w:rFonts w:ascii="Arial" w:cs="Arial" w:eastAsia="Arial" w:hAnsi="Arial"/>
          <w:b/>
          <w:bCs/>
          <w:color w:val="0D2B3E"/>
          <w:sz w:val="36"/>
          <w:szCs w:val="36"/>
        </w:rPr>
        <w:t xml:space="preserve">4. Database Architecture</w:t>
      </w:r>
    </w:p>
    <w:p>
      <w:pPr>
        <w:pStyle w:val="Heading2"/>
        <w:spacing w:after="120" w:before="280"/>
      </w:pPr>
      <w:r>
        <w:rPr>
          <w:rFonts w:ascii="Arial" w:cs="Arial" w:eastAsia="Arial" w:hAnsi="Arial"/>
          <w:b/>
          <w:bCs/>
          <w:color w:val="065A82"/>
          <w:sz w:val="28"/>
          <w:szCs w:val="28"/>
        </w:rPr>
        <w:t xml:space="preserve">4.1 Aurora Serverless v2</w:t>
      </w:r>
    </w:p>
    <w:p>
      <w:pPr>
        <w:spacing w:after="140"/>
      </w:pPr>
      <w:r>
        <w:rPr>
          <w:rFonts w:ascii="Arial" w:cs="Arial" w:eastAsia="Arial" w:hAnsi="Arial"/>
          <w:color w:val="1E293B"/>
          <w:sz w:val="22"/>
          <w:szCs w:val="22"/>
        </w:rPr>
        <w:t xml:space="preserve">The primary database is PostgreSQL 15 on Aurora Serverless v2. This provides automatic scaling from 0.5 to 128 Aurora Capacity Units (ACU) based on demand. At 10K tenants, we expect to hover around 32–64 ACU during business hours, scaling down at night.</w:t>
      </w:r>
    </w:p>
    <w:p>
      <w:pPr>
        <w:spacing w:after="100"/>
      </w:pP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800"/>
      </w:tblGrid>
      <w:tr>
        <w:tc>
          <w:tcPr>
            <w:tcBorders>
              <w:top w:val="single" w:color="00A896" w:sz="4"/>
              <w:left w:val="single" w:color="00A896" w:sz="4"/>
              <w:bottom w:val="single" w:color="D1E8F0" w:sz="1"/>
              <w:right w:val="single" w:color="D1E8F0" w:sz="1"/>
            </w:tcBorders>
            <w:shd w:fill="EEF9F8" w:val="clear"/>
            <w:tcMar>
              <w:top w:type="dxa" w:w="120"/>
              <w:left w:type="dxa" w:w="180"/>
              <w:bottom w:type="dxa" w:w="120"/>
              <w:right w:type="dxa" w:w="120"/>
            </w:tcMar>
          </w:tcPr>
          <w:p>
            <w:pPr>
              <w:spacing w:after="80"/>
            </w:pPr>
            <w:r>
              <w:rPr>
                <w:rFonts w:ascii="Arial" w:cs="Arial" w:eastAsia="Arial" w:hAnsi="Arial"/>
                <w:b/>
                <w:bCs/>
                <w:color w:val="065A82"/>
                <w:sz w:val="22"/>
                <w:szCs w:val="22"/>
              </w:rPr>
              <w:t xml:space="preserve">Aurora Serverless Benefits</w:t>
            </w:r>
          </w:p>
          <w:p>
            <w:pPr>
              <w:spacing w:after="60"/>
            </w:pPr>
            <w:r>
              <w:rPr>
                <w:rFonts w:ascii="Arial" w:cs="Arial" w:eastAsia="Arial" w:hAnsi="Arial"/>
                <w:color w:val="1E293B"/>
                <w:sz w:val="20"/>
                <w:szCs w:val="20"/>
              </w:rPr>
              <w:t xml:space="preserve">• Automatic Scaling: ACUs scale up/down based on real demand</w:t>
            </w:r>
          </w:p>
          <w:p>
            <w:pPr>
              <w:spacing w:after="60"/>
            </w:pPr>
            <w:r>
              <w:rPr>
                <w:rFonts w:ascii="Arial" w:cs="Arial" w:eastAsia="Arial" w:hAnsi="Arial"/>
                <w:color w:val="1E293B"/>
                <w:sz w:val="20"/>
                <w:szCs w:val="20"/>
              </w:rPr>
              <w:t xml:space="preserve">• No Maintenance Windows: AWS handles minor version patches automatically</w:t>
            </w:r>
          </w:p>
          <w:p>
            <w:pPr>
              <w:spacing w:after="60"/>
            </w:pPr>
            <w:r>
              <w:rPr>
                <w:rFonts w:ascii="Arial" w:cs="Arial" w:eastAsia="Arial" w:hAnsi="Arial"/>
                <w:color w:val="1E293B"/>
                <w:sz w:val="20"/>
                <w:szCs w:val="20"/>
              </w:rPr>
              <w:t xml:space="preserve">• ACID Transactions: full multi-statement transaction support</w:t>
            </w:r>
          </w:p>
          <w:p>
            <w:pPr>
              <w:spacing w:after="60"/>
            </w:pPr>
            <w:r>
              <w:rPr>
                <w:rFonts w:ascii="Arial" w:cs="Arial" w:eastAsia="Arial" w:hAnsi="Arial"/>
                <w:color w:val="1E293B"/>
                <w:sz w:val="20"/>
                <w:szCs w:val="20"/>
              </w:rPr>
              <w:t xml:space="preserve">• Read Replicas: cost-effective read scaling across AZs</w:t>
            </w:r>
          </w:p>
          <w:p>
            <w:pPr>
              <w:spacing w:after="60"/>
            </w:pPr>
            <w:r>
              <w:rPr>
                <w:rFonts w:ascii="Arial" w:cs="Arial" w:eastAsia="Arial" w:hAnsi="Arial"/>
                <w:color w:val="1E293B"/>
                <w:sz w:val="20"/>
                <w:szCs w:val="20"/>
              </w:rPr>
              <w:t xml:space="preserve">• Backups: continuous backup with point-in-time recovery to 35 days</w:t>
            </w:r>
          </w:p>
        </w:tc>
      </w:tr>
    </w:tbl>
    <w:p>
      <w:pPr>
        <w:spacing w:after="100"/>
      </w:pPr>
    </w:p>
    <w:p>
      <w:pPr>
        <w:pStyle w:val="Heading2"/>
        <w:spacing w:after="120" w:before="280"/>
      </w:pPr>
      <w:r>
        <w:rPr>
          <w:rFonts w:ascii="Arial" w:cs="Arial" w:eastAsia="Arial" w:hAnsi="Arial"/>
          <w:b/>
          <w:bCs/>
          <w:color w:val="065A82"/>
          <w:sz w:val="28"/>
          <w:szCs w:val="28"/>
        </w:rPr>
        <w:t xml:space="preserve">4.2 Schema: Tenant Isolation via Columns</w:t>
      </w:r>
    </w:p>
    <w:p>
      <w:pPr>
        <w:spacing w:after="140"/>
      </w:pPr>
      <w:r>
        <w:rPr>
          <w:rFonts w:ascii="Arial" w:cs="Arial" w:eastAsia="Arial" w:hAnsi="Arial"/>
          <w:color w:val="1E293B"/>
          <w:sz w:val="22"/>
          <w:szCs w:val="22"/>
        </w:rPr>
        <w:t xml:space="preserve">Every table includes tenant_id as the first column. This pattern is consistent across the schema:</w:t>
      </w:r>
    </w:p>
    <w:tbl>
      <w:tblPr>
        <w:tblW w:type="dxa" w:w="6960"/>
        <w:tblBorders>
          <w:top w:val="single" w:color="auto" w:sz="4"/>
          <w:left w:val="single" w:color="auto" w:sz="4"/>
          <w:bottom w:val="single" w:color="auto" w:sz="4"/>
          <w:right w:val="single" w:color="auto" w:sz="4"/>
          <w:insideH w:val="single" w:color="auto" w:sz="4"/>
          <w:insideV w:val="single" w:color="auto" w:sz="4"/>
        </w:tblBorders>
      </w:tblPr>
      <w:tblGrid>
        <w:gridCol w:w="1560"/>
        <w:gridCol w:w="2520"/>
        <w:gridCol w:w="2880"/>
      </w:tblGrid>
      <w:tr>
        <w:trPr>
          <w:tblHeader/>
        </w:trPr>
        <w:tc>
          <w:tcPr>
            <w:tcBorders>
              <w:top w:val="single" w:color="D1E8F0" w:sz="1"/>
              <w:left w:val="single" w:color="D1E8F0" w:sz="1"/>
              <w:bottom w:val="single" w:color="D1E8F0" w:sz="1"/>
              <w:right w:val="single" w:color="D1E8F0" w:sz="1"/>
            </w:tcBorders>
            <w:shd w:fill="065A8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w:t>
            </w:r>
          </w:p>
        </w:tc>
        <w:tc>
          <w:tcPr>
            <w:tcBorders>
              <w:top w:val="single" w:color="D1E8F0" w:sz="1"/>
              <w:left w:val="single" w:color="D1E8F0" w:sz="1"/>
              <w:bottom w:val="single" w:color="D1E8F0" w:sz="1"/>
              <w:right w:val="single" w:color="D1E8F0" w:sz="1"/>
            </w:tcBorders>
            <w:shd w:fill="065A8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Columns</w:t>
            </w:r>
          </w:p>
        </w:tc>
        <w:tc>
          <w:tcPr>
            <w:tcBorders>
              <w:top w:val="single" w:color="D1E8F0" w:sz="1"/>
              <w:left w:val="single" w:color="D1E8F0" w:sz="1"/>
              <w:bottom w:val="single" w:color="D1E8F0" w:sz="1"/>
              <w:right w:val="single" w:color="D1E8F0" w:sz="1"/>
            </w:tcBorders>
            <w:shd w:fill="065A8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Sharding Strategy</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tenants</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id (UUID), name, plan, is_internal, demo_mode_available</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Primary key = tenant</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campaigns</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id, tenant_id, name, status, budget_aud, created_at</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RLS: tenant_id</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campaign_channels</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id, campaign_id, tenant_id, channel_type, config_json</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RLS: tenant_id</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social_accounts</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id, tenant_id, platform, access_token_enc, expires_at</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RLS: tenant_id</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scheduled_posts</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id, tenant_id, social_account_id, scheduled_at, sent_at</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RLS: tenant_id</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email_lists</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id, tenant_id, name, subscriber_count, created_at</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RLS: tenant_id</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analytics_events</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id, tenant_id, campaign_id, channel, event_type, recorded_at</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Partitioned by recorded_at + tenant_id</w:t>
            </w:r>
          </w:p>
        </w:tc>
      </w:tr>
    </w:tbl>
    <w:p>
      <w:pPr>
        <w:spacing w:after="100"/>
      </w:pPr>
    </w:p>
    <w:p>
      <w:pPr>
        <w:pStyle w:val="Heading2"/>
        <w:spacing w:after="120" w:before="280"/>
      </w:pPr>
      <w:r>
        <w:rPr>
          <w:rFonts w:ascii="Arial" w:cs="Arial" w:eastAsia="Arial" w:hAnsi="Arial"/>
          <w:b/>
          <w:bCs/>
          <w:color w:val="065A82"/>
          <w:sz w:val="28"/>
          <w:szCs w:val="28"/>
        </w:rPr>
        <w:t xml:space="preserve">4.3 Connection Pooling</w:t>
      </w:r>
    </w:p>
    <w:p>
      <w:pPr>
        <w:spacing w:after="140"/>
      </w:pPr>
      <w:r>
        <w:rPr>
          <w:rFonts w:ascii="Arial" w:cs="Arial" w:eastAsia="Arial" w:hAnsi="Arial"/>
          <w:color w:val="1E293B"/>
          <w:sz w:val="22"/>
          <w:szCs w:val="22"/>
        </w:rPr>
        <w:t xml:space="preserve">PgBouncer proxies all connections between application servers and Aurora, maintaining per-tier pool sizes to prevent resource exhaustion:</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880"/>
      </w:tblGrid>
      <w:tr>
        <w:trPr>
          <w:tblHeader/>
        </w:trPr>
        <w:tc>
          <w:tcPr>
            <w:tcBorders>
              <w:top w:val="single" w:color="D1E8F0" w:sz="1"/>
              <w:left w:val="single" w:color="D1E8F0" w:sz="1"/>
              <w:bottom w:val="single" w:color="D1E8F0" w:sz="1"/>
              <w:right w:val="single" w:color="D1E8F0" w:sz="1"/>
            </w:tcBorders>
            <w:shd w:fill="065A8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Subscription Plan</w:t>
            </w:r>
          </w:p>
        </w:tc>
        <w:tc>
          <w:tcPr>
            <w:tcBorders>
              <w:top w:val="single" w:color="D1E8F0" w:sz="1"/>
              <w:left w:val="single" w:color="D1E8F0" w:sz="1"/>
              <w:bottom w:val="single" w:color="D1E8F0" w:sz="1"/>
              <w:right w:val="single" w:color="D1E8F0" w:sz="1"/>
            </w:tcBorders>
            <w:shd w:fill="065A8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Connection Limit</w:t>
            </w:r>
          </w:p>
        </w:tc>
        <w:tc>
          <w:tcPr>
            <w:tcBorders>
              <w:top w:val="single" w:color="D1E8F0" w:sz="1"/>
              <w:left w:val="single" w:color="D1E8F0" w:sz="1"/>
              <w:bottom w:val="single" w:color="D1E8F0" w:sz="1"/>
              <w:right w:val="single" w:color="D1E8F0" w:sz="1"/>
            </w:tcBorders>
            <w:shd w:fill="065A8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Concurrent Campaigns</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Starter</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2 connections</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1–2 campaigns</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Pro</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5 connections</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5–10 campaigns</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Business</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10 connections</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10–50 campaigns</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Agency</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20 connections</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50+ campaigns</w:t>
            </w:r>
          </w:p>
        </w:tc>
      </w:tr>
    </w:tbl>
    <w:p>
      <w:pPr>
        <w:spacing w:after="100"/>
      </w:pPr>
    </w:p>
    <w:p>
      <w:pPr>
        <w:pStyle w:val="Heading2"/>
        <w:spacing w:after="120" w:before="280"/>
      </w:pPr>
      <w:r>
        <w:rPr>
          <w:rFonts w:ascii="Arial" w:cs="Arial" w:eastAsia="Arial" w:hAnsi="Arial"/>
          <w:b/>
          <w:bCs/>
          <w:color w:val="065A82"/>
          <w:sz w:val="28"/>
          <w:szCs w:val="28"/>
        </w:rPr>
        <w:t xml:space="preserve">4.4 Partitioning Strategy</w:t>
      </w:r>
    </w:p>
    <w:p>
      <w:pPr>
        <w:spacing w:after="140"/>
      </w:pPr>
      <w:r>
        <w:rPr>
          <w:rFonts w:ascii="Arial" w:cs="Arial" w:eastAsia="Arial" w:hAnsi="Arial"/>
          <w:color w:val="1E293B"/>
          <w:sz w:val="22"/>
          <w:szCs w:val="22"/>
        </w:rPr>
        <w:t xml:space="preserve">The analytics_events table (highest volume) is partitioned by recorded_at (monthly partitions) and sub-partitioned by tenant_id. At 10K tenants with 100 events/day per tenant average, this table will grow ~36M rows/month:</w:t>
      </w:r>
    </w:p>
    <w:p>
      <w:pPr>
        <w:pStyle w:val="ListParagraph"/>
        <w:numPr>
          <w:ilvl w:val="0"/>
          <w:numId w:val="2"/>
        </w:numPr>
        <w:spacing w:after="80"/>
      </w:pPr>
      <w:r>
        <w:rPr>
          <w:rFonts w:ascii="Arial" w:cs="Arial" w:eastAsia="Arial" w:hAnsi="Arial"/>
          <w:b w:val="false"/>
          <w:bCs w:val="false"/>
          <w:color w:val="1E293B"/>
          <w:sz w:val="22"/>
          <w:szCs w:val="22"/>
        </w:rPr>
        <w:t xml:space="preserve">Monthly partitions: auto-created via pg_partman trigger</w:t>
      </w:r>
    </w:p>
    <w:p>
      <w:pPr>
        <w:pStyle w:val="ListParagraph"/>
        <w:numPr>
          <w:ilvl w:val="0"/>
          <w:numId w:val="2"/>
        </w:numPr>
        <w:spacing w:after="80"/>
      </w:pPr>
      <w:r>
        <w:rPr>
          <w:rFonts w:ascii="Arial" w:cs="Arial" w:eastAsia="Arial" w:hAnsi="Arial"/>
          <w:b w:val="false"/>
          <w:bCs w:val="false"/>
          <w:color w:val="1E293B"/>
          <w:sz w:val="22"/>
          <w:szCs w:val="22"/>
        </w:rPr>
        <w:t xml:space="preserve">Partition retention: analytics data kept for 24 months, then archived to S3</w:t>
      </w:r>
    </w:p>
    <w:p>
      <w:pPr>
        <w:pStyle w:val="ListParagraph"/>
        <w:numPr>
          <w:ilvl w:val="0"/>
          <w:numId w:val="2"/>
        </w:numPr>
        <w:spacing w:after="80"/>
      </w:pPr>
      <w:r>
        <w:rPr>
          <w:rFonts w:ascii="Arial" w:cs="Arial" w:eastAsia="Arial" w:hAnsi="Arial"/>
          <w:b w:val="false"/>
          <w:bCs w:val="false"/>
          <w:color w:val="1E293B"/>
          <w:sz w:val="22"/>
          <w:szCs w:val="22"/>
        </w:rPr>
        <w:t xml:space="preserve">Index strategy: (tenant_id, campaign_id, recorded_at) for fast queries</w:t>
      </w:r>
    </w:p>
    <w:p>
      <w:pPr>
        <w:spacing w:after="100"/>
      </w:pPr>
    </w:p>
    <w:p>
      <w:pPr>
        <w:pStyle w:val="Heading2"/>
        <w:spacing w:after="120" w:before="280"/>
      </w:pPr>
      <w:r>
        <w:rPr>
          <w:rFonts w:ascii="Arial" w:cs="Arial" w:eastAsia="Arial" w:hAnsi="Arial"/>
          <w:b/>
          <w:bCs/>
          <w:color w:val="065A82"/>
          <w:sz w:val="28"/>
          <w:szCs w:val="28"/>
        </w:rPr>
        <w:t xml:space="preserve">4.5 Read Replicas</w:t>
      </w:r>
    </w:p>
    <w:p>
      <w:pPr>
        <w:spacing w:after="140"/>
      </w:pPr>
      <w:r>
        <w:rPr>
          <w:rFonts w:ascii="Arial" w:cs="Arial" w:eastAsia="Arial" w:hAnsi="Arial"/>
          <w:color w:val="1E293B"/>
          <w:sz w:val="22"/>
          <w:szCs w:val="22"/>
        </w:rPr>
        <w:t xml:space="preserve">All read-heavy analytics queries are routed to two Aurora Read Replicas (one per AZ). Writes always go to the primary. This setup scales read throughput without impacting write latency:</w:t>
      </w:r>
    </w:p>
    <w:p>
      <w:pPr>
        <w:pStyle w:val="ListParagraph"/>
        <w:numPr>
          <w:ilvl w:val="0"/>
          <w:numId w:val="2"/>
        </w:numPr>
        <w:spacing w:after="80"/>
      </w:pPr>
      <w:r>
        <w:rPr>
          <w:rFonts w:ascii="Arial" w:cs="Arial" w:eastAsia="Arial" w:hAnsi="Arial"/>
          <w:b w:val="false"/>
          <w:bCs w:val="false"/>
          <w:color w:val="1E293B"/>
          <w:sz w:val="22"/>
          <w:szCs w:val="22"/>
        </w:rPr>
        <w:t xml:space="preserve">Primary instance: handles all writes and real-time reads</w:t>
      </w:r>
    </w:p>
    <w:p>
      <w:pPr>
        <w:pStyle w:val="ListParagraph"/>
        <w:numPr>
          <w:ilvl w:val="0"/>
          <w:numId w:val="2"/>
        </w:numPr>
        <w:spacing w:after="80"/>
      </w:pPr>
      <w:r>
        <w:rPr>
          <w:rFonts w:ascii="Arial" w:cs="Arial" w:eastAsia="Arial" w:hAnsi="Arial"/>
          <w:b w:val="false"/>
          <w:bCs w:val="false"/>
          <w:color w:val="1E293B"/>
          <w:sz w:val="22"/>
          <w:szCs w:val="22"/>
        </w:rPr>
        <w:t xml:space="preserve">Read Replica 1 (ap-southeast-2a): handles analytics dashboard queries</w:t>
      </w:r>
    </w:p>
    <w:p>
      <w:pPr>
        <w:pStyle w:val="ListParagraph"/>
        <w:numPr>
          <w:ilvl w:val="0"/>
          <w:numId w:val="2"/>
        </w:numPr>
        <w:spacing w:after="80"/>
      </w:pPr>
      <w:r>
        <w:rPr>
          <w:rFonts w:ascii="Arial" w:cs="Arial" w:eastAsia="Arial" w:hAnsi="Arial"/>
          <w:b w:val="false"/>
          <w:bCs w:val="false"/>
          <w:color w:val="1E293B"/>
          <w:sz w:val="22"/>
          <w:szCs w:val="22"/>
        </w:rPr>
        <w:t xml:space="preserve">Read Replica 2 (ap-southeast-2b): handles reporting exports and audit logs</w:t>
      </w:r>
    </w:p>
    <w:p>
      <w:pPr>
        <w:spacing w:after="100"/>
      </w:pPr>
    </w:p>
    <w:p>
      <w:pPr>
        <w:pStyle w:val="Heading2"/>
        <w:spacing w:after="120" w:before="280"/>
      </w:pPr>
      <w:r>
        <w:rPr>
          <w:rFonts w:ascii="Arial" w:cs="Arial" w:eastAsia="Arial" w:hAnsi="Arial"/>
          <w:b/>
          <w:bCs/>
          <w:color w:val="065A82"/>
          <w:sz w:val="28"/>
          <w:szCs w:val="28"/>
        </w:rPr>
        <w:t xml:space="preserve">4.6 Backup &amp; Disaster Recovery</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800"/>
      </w:tblGrid>
      <w:tr>
        <w:tc>
          <w:tcPr>
            <w:tcBorders>
              <w:top w:val="single" w:color="00A896" w:sz="4"/>
              <w:left w:val="single" w:color="00A896" w:sz="4"/>
              <w:bottom w:val="single" w:color="D1E8F0" w:sz="1"/>
              <w:right w:val="single" w:color="D1E8F0" w:sz="1"/>
            </w:tcBorders>
            <w:shd w:fill="EEF9F8" w:val="clear"/>
            <w:tcMar>
              <w:top w:type="dxa" w:w="120"/>
              <w:left w:type="dxa" w:w="180"/>
              <w:bottom w:type="dxa" w:w="120"/>
              <w:right w:type="dxa" w:w="120"/>
            </w:tcMar>
          </w:tcPr>
          <w:p>
            <w:pPr>
              <w:spacing w:after="80"/>
            </w:pPr>
            <w:r>
              <w:rPr>
                <w:rFonts w:ascii="Arial" w:cs="Arial" w:eastAsia="Arial" w:hAnsi="Arial"/>
                <w:b/>
                <w:bCs/>
                <w:color w:val="065A82"/>
                <w:sz w:val="22"/>
                <w:szCs w:val="22"/>
              </w:rPr>
              <w:t xml:space="preserve">Backup Strategy</w:t>
            </w:r>
          </w:p>
          <w:p>
            <w:pPr>
              <w:spacing w:after="60"/>
            </w:pPr>
            <w:r>
              <w:rPr>
                <w:rFonts w:ascii="Arial" w:cs="Arial" w:eastAsia="Arial" w:hAnsi="Arial"/>
                <w:color w:val="1E293B"/>
                <w:sz w:val="20"/>
                <w:szCs w:val="20"/>
              </w:rPr>
              <w:t xml:space="preserve">• Continuous Backup: Aurora continuously backs up every change (RPO &lt; 1 minute)</w:t>
            </w:r>
          </w:p>
          <w:p>
            <w:pPr>
              <w:spacing w:after="60"/>
            </w:pPr>
            <w:r>
              <w:rPr>
                <w:rFonts w:ascii="Arial" w:cs="Arial" w:eastAsia="Arial" w:hAnsi="Arial"/>
                <w:color w:val="1E293B"/>
                <w:sz w:val="20"/>
                <w:szCs w:val="20"/>
              </w:rPr>
              <w:t xml:space="preserve">• Point-in-Time Recovery: restore to any moment within the last 35 days</w:t>
            </w:r>
          </w:p>
          <w:p>
            <w:pPr>
              <w:spacing w:after="60"/>
            </w:pPr>
            <w:r>
              <w:rPr>
                <w:rFonts w:ascii="Arial" w:cs="Arial" w:eastAsia="Arial" w:hAnsi="Arial"/>
                <w:color w:val="1E293B"/>
                <w:sz w:val="20"/>
                <w:szCs w:val="20"/>
              </w:rPr>
              <w:t xml:space="preserve">• Daily Snapshots: automated snapshots at 02:00 UTC for long-term retention</w:t>
            </w:r>
          </w:p>
          <w:p>
            <w:pPr>
              <w:spacing w:after="60"/>
            </w:pPr>
            <w:r>
              <w:rPr>
                <w:rFonts w:ascii="Arial" w:cs="Arial" w:eastAsia="Arial" w:hAnsi="Arial"/>
                <w:color w:val="1E293B"/>
                <w:sz w:val="20"/>
                <w:szCs w:val="20"/>
              </w:rPr>
              <w:t xml:space="preserve">• Cross-Region: backups automatically replicated to ap-southeast-1 (Singapore)</w:t>
            </w:r>
          </w:p>
          <w:p>
            <w:pPr>
              <w:spacing w:after="60"/>
            </w:pPr>
            <w:r>
              <w:rPr>
                <w:rFonts w:ascii="Arial" w:cs="Arial" w:eastAsia="Arial" w:hAnsi="Arial"/>
                <w:color w:val="1E293B"/>
                <w:sz w:val="20"/>
                <w:szCs w:val="20"/>
              </w:rPr>
              <w:t xml:space="preserve">• RTO Target: &lt;4 hours full recovery from any failure</w:t>
            </w:r>
          </w:p>
        </w:tc>
      </w:tr>
    </w:tbl>
    <w:p>
      <w:pPr>
        <w:spacing w:after="100"/>
      </w:pPr>
    </w:p>
    <w:p>
      <w:pPr>
        <w:pStyle w:val="Heading2"/>
        <w:spacing w:after="120" w:before="280"/>
      </w:pPr>
      <w:r>
        <w:rPr>
          <w:rFonts w:ascii="Arial" w:cs="Arial" w:eastAsia="Arial" w:hAnsi="Arial"/>
          <w:b/>
          <w:bCs/>
          <w:color w:val="065A82"/>
          <w:sz w:val="28"/>
          <w:szCs w:val="28"/>
        </w:rPr>
        <w:t xml:space="preserve">4.7 Estimated Storage at 10K Tenants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800"/>
      </w:tblGrid>
      <w:tr>
        <w:tc>
          <w:tcPr>
            <w:tcBorders>
              <w:top w:val="single" w:color="00A896" w:sz="4"/>
              <w:left w:val="single" w:color="00A896" w:sz="4"/>
              <w:bottom w:val="single" w:color="D1E8F0" w:sz="1"/>
              <w:right w:val="single" w:color="D1E8F0" w:sz="1"/>
            </w:tcBorders>
            <w:shd w:fill="EEF9F8" w:val="clear"/>
            <w:tcMar>
              <w:top w:type="dxa" w:w="120"/>
              <w:left w:type="dxa" w:w="180"/>
              <w:bottom w:type="dxa" w:w="120"/>
              <w:right w:type="dxa" w:w="120"/>
            </w:tcMar>
          </w:tcPr>
          <w:p>
            <w:pPr>
              <w:spacing w:after="80"/>
            </w:pPr>
            <w:r>
              <w:rPr>
                <w:rFonts w:ascii="Arial" w:cs="Arial" w:eastAsia="Arial" w:hAnsi="Arial"/>
                <w:b/>
                <w:bCs/>
                <w:color w:val="065A82"/>
                <w:sz w:val="22"/>
                <w:szCs w:val="22"/>
              </w:rPr>
              <w:t xml:space="preserve">Storage Projections</w:t>
            </w:r>
          </w:p>
          <w:p>
            <w:pPr>
              <w:spacing w:after="60"/>
            </w:pPr>
            <w:r>
              <w:rPr>
                <w:rFonts w:ascii="Arial" w:cs="Arial" w:eastAsia="Arial" w:hAnsi="Arial"/>
                <w:color w:val="1E293B"/>
                <w:sz w:val="20"/>
                <w:szCs w:val="20"/>
              </w:rPr>
              <w:t xml:space="preserve">• Database: ~2 TB (160 bytes/row avg × 200M events + other tables)</w:t>
            </w:r>
          </w:p>
          <w:p>
            <w:pPr>
              <w:spacing w:after="60"/>
            </w:pPr>
            <w:r>
              <w:rPr>
                <w:rFonts w:ascii="Arial" w:cs="Arial" w:eastAsia="Arial" w:hAnsi="Arial"/>
                <w:color w:val="1E293B"/>
                <w:sz w:val="20"/>
                <w:szCs w:val="20"/>
              </w:rPr>
              <w:t xml:space="preserve">• S3 Media (images, exported reports): ~50 TB</w:t>
            </w:r>
          </w:p>
          <w:p>
            <w:pPr>
              <w:spacing w:after="60"/>
            </w:pPr>
            <w:r>
              <w:rPr>
                <w:rFonts w:ascii="Arial" w:cs="Arial" w:eastAsia="Arial" w:hAnsi="Arial"/>
                <w:color w:val="1E293B"/>
                <w:sz w:val="20"/>
                <w:szCs w:val="20"/>
              </w:rPr>
              <w:t xml:space="preserve">• S3 Backups &amp; Archives: ~5 TB</w:t>
            </w:r>
          </w:p>
          <w:p>
            <w:pPr>
              <w:spacing w:after="60"/>
            </w:pPr>
            <w:r>
              <w:rPr>
                <w:rFonts w:ascii="Arial" w:cs="Arial" w:eastAsia="Arial" w:hAnsi="Arial"/>
                <w:color w:val="1E293B"/>
                <w:sz w:val="20"/>
                <w:szCs w:val="20"/>
              </w:rPr>
              <w:t xml:space="preserve">• Total Monthly S3 Cost: ~$620 (at $0.025/GB for ap-southeast-2)</w:t>
            </w:r>
          </w:p>
        </w:tc>
      </w:tr>
    </w:tbl>
    <w:p>
      <w:pPr>
        <w:spacing w:after="100"/>
      </w:pPr>
    </w:p>
    <w:p>
      <w:pPr>
        <w:pStyle w:val="Heading1"/>
        <w:pageBreakBefore/>
      </w:pPr>
      <w:r>
        <w:rPr>
          <w:rFonts w:ascii="Arial" w:cs="Arial" w:eastAsia="Arial" w:hAnsi="Arial"/>
          <w:b/>
          <w:bCs/>
          <w:color w:val="0D2B3E"/>
          <w:sz w:val="36"/>
          <w:szCs w:val="36"/>
        </w:rPr>
        <w:t xml:space="preserve">5. Accounting Integrations</w:t>
      </w:r>
    </w:p>
    <w:p>
      <w:pPr>
        <w:spacing w:after="140"/>
      </w:pPr>
      <w:r>
        <w:rPr>
          <w:rFonts w:ascii="Arial" w:cs="Arial" w:eastAsia="Arial" w:hAnsi="Arial"/>
          <w:color w:val="1E293B"/>
          <w:sz w:val="22"/>
          <w:szCs w:val="22"/>
        </w:rPr>
        <w:t xml:space="preserve">Dolphi integrates with the major accounting software packages used by Australian businesses. These integrations allow business owners to see how marketing spend translates to actual revenue and ROI.</w:t>
      </w:r>
    </w:p>
    <w:p>
      <w:pPr>
        <w:spacing w:after="100"/>
      </w:pPr>
    </w:p>
    <w:p>
      <w:pPr>
        <w:pStyle w:val="Heading2"/>
        <w:spacing w:after="120" w:before="280"/>
      </w:pPr>
      <w:r>
        <w:rPr>
          <w:rFonts w:ascii="Arial" w:cs="Arial" w:eastAsia="Arial" w:hAnsi="Arial"/>
          <w:b/>
          <w:bCs/>
          <w:color w:val="065A82"/>
          <w:sz w:val="28"/>
          <w:szCs w:val="28"/>
        </w:rPr>
        <w:t xml:space="preserve">5.1 Xero Integration</w:t>
      </w:r>
    </w:p>
    <w:p>
      <w:pPr>
        <w:spacing w:after="140"/>
      </w:pPr>
      <w:r>
        <w:rPr>
          <w:rFonts w:ascii="Arial" w:cs="Arial" w:eastAsia="Arial" w:hAnsi="Arial"/>
          <w:color w:val="1E293B"/>
          <w:sz w:val="22"/>
          <w:szCs w:val="22"/>
        </w:rPr>
        <w:t xml:space="preserve">Xero is Australia's leading accounting software. Dolphi's Xero integration syncs financial data every 4 hours and on webhook events.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800"/>
      </w:tblGrid>
      <w:tr>
        <w:tc>
          <w:tcPr>
            <w:tcBorders>
              <w:top w:val="single" w:color="00A896" w:sz="4"/>
              <w:left w:val="single" w:color="00A896" w:sz="4"/>
              <w:bottom w:val="single" w:color="D1E8F0" w:sz="1"/>
              <w:right w:val="single" w:color="D1E8F0" w:sz="1"/>
            </w:tcBorders>
            <w:shd w:fill="EEF9F8" w:val="clear"/>
            <w:tcMar>
              <w:top w:type="dxa" w:w="120"/>
              <w:left w:type="dxa" w:w="180"/>
              <w:bottom w:type="dxa" w:w="120"/>
              <w:right w:type="dxa" w:w="120"/>
            </w:tcMar>
          </w:tcPr>
          <w:p>
            <w:pPr>
              <w:spacing w:after="80"/>
            </w:pPr>
            <w:r>
              <w:rPr>
                <w:rFonts w:ascii="Arial" w:cs="Arial" w:eastAsia="Arial" w:hAnsi="Arial"/>
                <w:b/>
                <w:bCs/>
                <w:color w:val="065A82"/>
                <w:sz w:val="22"/>
                <w:szCs w:val="22"/>
              </w:rPr>
              <w:t xml:space="preserve">Xero Integration Details</w:t>
            </w:r>
          </w:p>
          <w:p>
            <w:pPr>
              <w:spacing w:after="60"/>
            </w:pPr>
            <w:r>
              <w:rPr>
                <w:rFonts w:ascii="Arial" w:cs="Arial" w:eastAsia="Arial" w:hAnsi="Arial"/>
                <w:color w:val="1E293B"/>
                <w:sz w:val="20"/>
                <w:szCs w:val="20"/>
              </w:rPr>
              <w:t xml:space="preserve">• OAuth 2.0 with PKCE flow (secure for mobile apps)</w:t>
            </w:r>
          </w:p>
          <w:p>
            <w:pPr>
              <w:spacing w:after="60"/>
            </w:pPr>
            <w:r>
              <w:rPr>
                <w:rFonts w:ascii="Arial" w:cs="Arial" w:eastAsia="Arial" w:hAnsi="Arial"/>
                <w:color w:val="1E293B"/>
                <w:sz w:val="20"/>
                <w:szCs w:val="20"/>
              </w:rPr>
              <w:t xml:space="preserve">• Scopes: accounting.transactions.read, accounting.reports.read, accounting.contacts.read</w:t>
            </w:r>
          </w:p>
          <w:p>
            <w:pPr>
              <w:spacing w:after="60"/>
            </w:pPr>
            <w:r>
              <w:rPr>
                <w:rFonts w:ascii="Arial" w:cs="Arial" w:eastAsia="Arial" w:hAnsi="Arial"/>
                <w:color w:val="1E293B"/>
                <w:sz w:val="20"/>
                <w:szCs w:val="20"/>
              </w:rPr>
              <w:t xml:space="preserve">• Data Synced: Chart of accounts, revenue by period, invoice status, expense categories</w:t>
            </w:r>
          </w:p>
          <w:p>
            <w:pPr>
              <w:spacing w:after="60"/>
            </w:pPr>
            <w:r>
              <w:rPr>
                <w:rFonts w:ascii="Arial" w:cs="Arial" w:eastAsia="Arial" w:hAnsi="Arial"/>
                <w:color w:val="1E293B"/>
                <w:sz w:val="20"/>
                <w:szCs w:val="20"/>
              </w:rPr>
              <w:t xml:space="preserve">• Use in Dolphi: attribute marketing spend to campaigns, calculate ROI against actual Xero revenue</w:t>
            </w:r>
          </w:p>
          <w:p>
            <w:pPr>
              <w:spacing w:after="60"/>
            </w:pPr>
            <w:r>
              <w:rPr>
                <w:rFonts w:ascii="Arial" w:cs="Arial" w:eastAsia="Arial" w:hAnsi="Arial"/>
                <w:color w:val="1E293B"/>
                <w:sz w:val="20"/>
                <w:szCs w:val="20"/>
              </w:rPr>
              <w:t xml:space="preserve">• Sync Frequency: every 4 hours + webhook on invoice creation/payment</w:t>
            </w:r>
          </w:p>
          <w:p>
            <w:pPr>
              <w:spacing w:after="60"/>
            </w:pPr>
            <w:r>
              <w:rPr>
                <w:rFonts w:ascii="Arial" w:cs="Arial" w:eastAsia="Arial" w:hAnsi="Arial"/>
                <w:color w:val="1E293B"/>
                <w:sz w:val="20"/>
                <w:szCs w:val="20"/>
              </w:rPr>
              <w:t xml:space="preserve">• Rate Limit Handling: 60 requests/min per connection via queue with exponential backoff</w:t>
            </w:r>
          </w:p>
        </w:tc>
      </w:tr>
    </w:tbl>
    <w:p>
      <w:pPr>
        <w:spacing w:after="100"/>
      </w:pPr>
    </w:p>
    <w:p>
      <w:pPr>
        <w:pStyle w:val="Heading2"/>
        <w:spacing w:after="120" w:before="280"/>
      </w:pPr>
      <w:r>
        <w:rPr>
          <w:rFonts w:ascii="Arial" w:cs="Arial" w:eastAsia="Arial" w:hAnsi="Arial"/>
          <w:b/>
          <w:bCs/>
          <w:color w:val="065A82"/>
          <w:sz w:val="28"/>
          <w:szCs w:val="28"/>
        </w:rPr>
        <w:t xml:space="preserve">5.2 MYOB Integration</w:t>
      </w:r>
    </w:p>
    <w:p>
      <w:pPr>
        <w:spacing w:after="140"/>
      </w:pPr>
      <w:r>
        <w:rPr>
          <w:rFonts w:ascii="Arial" w:cs="Arial" w:eastAsia="Arial" w:hAnsi="Arial"/>
          <w:color w:val="1E293B"/>
          <w:sz w:val="22"/>
          <w:szCs w:val="22"/>
        </w:rPr>
        <w:t xml:space="preserve">MYOB AccountRight and MYOB Essentials are widely used by AU trades and construction businesses.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800"/>
      </w:tblGrid>
      <w:tr>
        <w:tc>
          <w:tcPr>
            <w:tcBorders>
              <w:top w:val="single" w:color="00A896" w:sz="4"/>
              <w:left w:val="single" w:color="00A896" w:sz="4"/>
              <w:bottom w:val="single" w:color="D1E8F0" w:sz="1"/>
              <w:right w:val="single" w:color="D1E8F0" w:sz="1"/>
            </w:tcBorders>
            <w:shd w:fill="EEF9F8" w:val="clear"/>
            <w:tcMar>
              <w:top w:type="dxa" w:w="120"/>
              <w:left w:type="dxa" w:w="180"/>
              <w:bottom w:type="dxa" w:w="120"/>
              <w:right w:type="dxa" w:w="120"/>
            </w:tcMar>
          </w:tcPr>
          <w:p>
            <w:pPr>
              <w:spacing w:after="80"/>
            </w:pPr>
            <w:r>
              <w:rPr>
                <w:rFonts w:ascii="Arial" w:cs="Arial" w:eastAsia="Arial" w:hAnsi="Arial"/>
                <w:b/>
                <w:bCs/>
                <w:color w:val="065A82"/>
                <w:sz w:val="22"/>
                <w:szCs w:val="22"/>
              </w:rPr>
              <w:t xml:space="preserve">MYOB Integration Details</w:t>
            </w:r>
          </w:p>
          <w:p>
            <w:pPr>
              <w:spacing w:after="60"/>
            </w:pPr>
            <w:r>
              <w:rPr>
                <w:rFonts w:ascii="Arial" w:cs="Arial" w:eastAsia="Arial" w:hAnsi="Arial"/>
                <w:color w:val="1E293B"/>
                <w:sz w:val="20"/>
                <w:szCs w:val="20"/>
              </w:rPr>
              <w:t xml:space="preserve">• OAuth 2.0 via MYOB API</w:t>
            </w:r>
          </w:p>
          <w:p>
            <w:pPr>
              <w:spacing w:after="60"/>
            </w:pPr>
            <w:r>
              <w:rPr>
                <w:rFonts w:ascii="Arial" w:cs="Arial" w:eastAsia="Arial" w:hAnsi="Arial"/>
                <w:color w:val="1E293B"/>
                <w:sz w:val="20"/>
                <w:szCs w:val="20"/>
              </w:rPr>
              <w:t xml:space="preserve">• Data Synced: Sales revenue, customer list, expense categories</w:t>
            </w:r>
          </w:p>
          <w:p>
            <w:pPr>
              <w:spacing w:after="60"/>
            </w:pPr>
            <w:r>
              <w:rPr>
                <w:rFonts w:ascii="Arial" w:cs="Arial" w:eastAsia="Arial" w:hAnsi="Arial"/>
                <w:color w:val="1E293B"/>
                <w:sz w:val="20"/>
                <w:szCs w:val="20"/>
              </w:rPr>
              <w:t xml:space="preserve">• Use in Dolphi: revenue attribution for campaign ROI, customer LTV from actual sales data</w:t>
            </w:r>
          </w:p>
          <w:p>
            <w:pPr>
              <w:spacing w:after="60"/>
            </w:pPr>
            <w:r>
              <w:rPr>
                <w:rFonts w:ascii="Arial" w:cs="Arial" w:eastAsia="Arial" w:hAnsi="Arial"/>
                <w:color w:val="1E293B"/>
                <w:sz w:val="20"/>
                <w:szCs w:val="20"/>
              </w:rPr>
              <w:t xml:space="preserve">• Tenant Setup: one MYOB OAuth connection per tenant, credentials stored encrypted</w:t>
            </w:r>
          </w:p>
          <w:p>
            <w:pPr>
              <w:spacing w:after="60"/>
            </w:pPr>
            <w:r>
              <w:rPr>
                <w:rFonts w:ascii="Arial" w:cs="Arial" w:eastAsia="Arial" w:hAnsi="Arial"/>
                <w:color w:val="1E293B"/>
                <w:sz w:val="20"/>
                <w:szCs w:val="20"/>
              </w:rPr>
              <w:t xml:space="preserve">• Sync Frequency: every 4 hours</w:t>
            </w:r>
          </w:p>
        </w:tc>
      </w:tr>
    </w:tbl>
    <w:p>
      <w:pPr>
        <w:spacing w:after="100"/>
      </w:pPr>
    </w:p>
    <w:p>
      <w:pPr>
        <w:pStyle w:val="Heading2"/>
        <w:spacing w:after="120" w:before="280"/>
      </w:pPr>
      <w:r>
        <w:rPr>
          <w:rFonts w:ascii="Arial" w:cs="Arial" w:eastAsia="Arial" w:hAnsi="Arial"/>
          <w:b/>
          <w:bCs/>
          <w:color w:val="065A82"/>
          <w:sz w:val="28"/>
          <w:szCs w:val="28"/>
        </w:rPr>
        <w:t xml:space="preserve">5.3 QuickBooks Integration</w:t>
      </w:r>
    </w:p>
    <w:p>
      <w:pPr>
        <w:spacing w:after="140"/>
      </w:pPr>
      <w:r>
        <w:rPr>
          <w:rFonts w:ascii="Arial" w:cs="Arial" w:eastAsia="Arial" w:hAnsi="Arial"/>
          <w:color w:val="1E293B"/>
          <w:sz w:val="22"/>
          <w:szCs w:val="22"/>
        </w:rPr>
        <w:t xml:space="preserve">QuickBooks Online (QBO) serves businesses using US-based accounting, though less common in Australia than Xero/MYOB.</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800"/>
      </w:tblGrid>
      <w:tr>
        <w:tc>
          <w:tcPr>
            <w:tcBorders>
              <w:top w:val="single" w:color="00A896" w:sz="4"/>
              <w:left w:val="single" w:color="00A896" w:sz="4"/>
              <w:bottom w:val="single" w:color="D1E8F0" w:sz="1"/>
              <w:right w:val="single" w:color="D1E8F0" w:sz="1"/>
            </w:tcBorders>
            <w:shd w:fill="EEF9F8" w:val="clear"/>
            <w:tcMar>
              <w:top w:type="dxa" w:w="120"/>
              <w:left w:type="dxa" w:w="180"/>
              <w:bottom w:type="dxa" w:w="120"/>
              <w:right w:type="dxa" w:w="120"/>
            </w:tcMar>
          </w:tcPr>
          <w:p>
            <w:pPr>
              <w:spacing w:after="80"/>
            </w:pPr>
            <w:r>
              <w:rPr>
                <w:rFonts w:ascii="Arial" w:cs="Arial" w:eastAsia="Arial" w:hAnsi="Arial"/>
                <w:b/>
                <w:bCs/>
                <w:color w:val="065A82"/>
                <w:sz w:val="22"/>
                <w:szCs w:val="22"/>
              </w:rPr>
              <w:t xml:space="preserve">QuickBooks Online Details</w:t>
            </w:r>
          </w:p>
          <w:p>
            <w:pPr>
              <w:spacing w:after="60"/>
            </w:pPr>
            <w:r>
              <w:rPr>
                <w:rFonts w:ascii="Arial" w:cs="Arial" w:eastAsia="Arial" w:hAnsi="Arial"/>
                <w:color w:val="1E293B"/>
                <w:sz w:val="20"/>
                <w:szCs w:val="20"/>
              </w:rPr>
              <w:t xml:space="preserve">• Intuit OAuth 2.0 flow</w:t>
            </w:r>
          </w:p>
          <w:p>
            <w:pPr>
              <w:spacing w:after="60"/>
            </w:pPr>
            <w:r>
              <w:rPr>
                <w:rFonts w:ascii="Arial" w:cs="Arial" w:eastAsia="Arial" w:hAnsi="Arial"/>
                <w:color w:val="1E293B"/>
                <w:sz w:val="20"/>
                <w:szCs w:val="20"/>
              </w:rPr>
              <w:t xml:space="preserve">• Data Synced: P&amp;L summary, revenue by period, customer payments</w:t>
            </w:r>
          </w:p>
          <w:p>
            <w:pPr>
              <w:spacing w:after="60"/>
            </w:pPr>
            <w:r>
              <w:rPr>
                <w:rFonts w:ascii="Arial" w:cs="Arial" w:eastAsia="Arial" w:hAnsi="Arial"/>
                <w:color w:val="1E293B"/>
                <w:sz w:val="20"/>
                <w:szCs w:val="20"/>
              </w:rPr>
              <w:t xml:space="preserve">• Use in Dolphi: financial performance overlay on marketing dashboard</w:t>
            </w:r>
          </w:p>
          <w:p>
            <w:pPr>
              <w:spacing w:after="60"/>
            </w:pPr>
            <w:r>
              <w:rPr>
                <w:rFonts w:ascii="Arial" w:cs="Arial" w:eastAsia="Arial" w:hAnsi="Arial"/>
                <w:color w:val="1E293B"/>
                <w:sz w:val="20"/>
                <w:szCs w:val="20"/>
              </w:rPr>
              <w:t xml:space="preserve">• Sync Frequency: daily (lower priority than Xero/MYOB)</w:t>
            </w:r>
          </w:p>
        </w:tc>
      </w:tr>
    </w:tbl>
    <w:p>
      <w:pPr>
        <w:spacing w:after="100"/>
      </w:pPr>
    </w:p>
    <w:p>
      <w:pPr>
        <w:pStyle w:val="Heading2"/>
        <w:spacing w:after="120" w:before="280"/>
      </w:pPr>
      <w:r>
        <w:rPr>
          <w:rFonts w:ascii="Arial" w:cs="Arial" w:eastAsia="Arial" w:hAnsi="Arial"/>
          <w:b/>
          <w:bCs/>
          <w:color w:val="065A82"/>
          <w:sz w:val="28"/>
          <w:szCs w:val="28"/>
        </w:rPr>
        <w:t xml:space="preserve">5.4 Stripe Revenue Recognition (Dolphi Internal)</w:t>
      </w:r>
    </w:p>
    <w:p>
      <w:pPr>
        <w:spacing w:after="140"/>
      </w:pPr>
      <w:r>
        <w:rPr>
          <w:rFonts w:ascii="Arial" w:cs="Arial" w:eastAsia="Arial" w:hAnsi="Arial"/>
          <w:color w:val="1E293B"/>
          <w:sz w:val="22"/>
          <w:szCs w:val="22"/>
        </w:rPr>
        <w:t xml:space="preserve">Dolphi uses Stripe's native Revenue Recognition feature to track its own MRR, ARR, and churn metrics.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800"/>
      </w:tblGrid>
      <w:tr>
        <w:tc>
          <w:tcPr>
            <w:tcBorders>
              <w:top w:val="single" w:color="00A896" w:sz="4"/>
              <w:left w:val="single" w:color="00A896" w:sz="4"/>
              <w:bottom w:val="single" w:color="D1E8F0" w:sz="1"/>
              <w:right w:val="single" w:color="D1E8F0" w:sz="1"/>
            </w:tcBorders>
            <w:shd w:fill="EEF9F8" w:val="clear"/>
            <w:tcMar>
              <w:top w:type="dxa" w:w="120"/>
              <w:left w:type="dxa" w:w="180"/>
              <w:bottom w:type="dxa" w:w="120"/>
              <w:right w:type="dxa" w:w="120"/>
            </w:tcMar>
          </w:tcPr>
          <w:p>
            <w:pPr>
              <w:spacing w:after="80"/>
            </w:pPr>
            <w:r>
              <w:rPr>
                <w:rFonts w:ascii="Arial" w:cs="Arial" w:eastAsia="Arial" w:hAnsi="Arial"/>
                <w:b/>
                <w:bCs/>
                <w:color w:val="065A82"/>
                <w:sz w:val="22"/>
                <w:szCs w:val="22"/>
              </w:rPr>
              <w:t xml:space="preserve">Stripe Revenue Recognition</w:t>
            </w:r>
          </w:p>
          <w:p>
            <w:pPr>
              <w:spacing w:after="60"/>
            </w:pPr>
            <w:r>
              <w:rPr>
                <w:rFonts w:ascii="Arial" w:cs="Arial" w:eastAsia="Arial" w:hAnsi="Arial"/>
                <w:color w:val="1E293B"/>
                <w:sz w:val="20"/>
                <w:szCs w:val="20"/>
              </w:rPr>
              <w:t xml:space="preserve">• Webhook Integration: subscription.created, invoice.paid, customer.subscription.deleted</w:t>
            </w:r>
          </w:p>
          <w:p>
            <w:pPr>
              <w:spacing w:after="60"/>
            </w:pPr>
            <w:r>
              <w:rPr>
                <w:rFonts w:ascii="Arial" w:cs="Arial" w:eastAsia="Arial" w:hAnsi="Arial"/>
                <w:color w:val="1E293B"/>
                <w:sz w:val="20"/>
                <w:szCs w:val="20"/>
              </w:rPr>
              <w:t xml:space="preserve">• Deferred Revenue: annual subscriptions recognized monthly over 12 months</w:t>
            </w:r>
          </w:p>
          <w:p>
            <w:pPr>
              <w:spacing w:after="60"/>
            </w:pPr>
            <w:r>
              <w:rPr>
                <w:rFonts w:ascii="Arial" w:cs="Arial" w:eastAsia="Arial" w:hAnsi="Arial"/>
                <w:color w:val="1E293B"/>
                <w:sz w:val="20"/>
                <w:szCs w:val="20"/>
              </w:rPr>
              <w:t xml:space="preserve">• Internal Metrics: MRR, ARR, net churn rate, customer LTV all calculated from Stripe</w:t>
            </w:r>
          </w:p>
          <w:p>
            <w:pPr>
              <w:spacing w:after="60"/>
            </w:pPr>
            <w:r>
              <w:rPr>
                <w:rFonts w:ascii="Arial" w:cs="Arial" w:eastAsia="Arial" w:hAnsi="Arial"/>
                <w:color w:val="1E293B"/>
                <w:sz w:val="20"/>
                <w:szCs w:val="20"/>
              </w:rPr>
              <w:t xml:space="preserve">• Dogfooding: Dolphi's own revenue metrics are visible in an internal Dolphi dashboard</w:t>
            </w:r>
          </w:p>
        </w:tc>
      </w:tr>
    </w:tbl>
    <w:p>
      <w:pPr>
        <w:spacing w:after="100"/>
      </w:pPr>
    </w:p>
    <w:p>
      <w:pPr>
        <w:pStyle w:val="Heading2"/>
        <w:spacing w:after="120" w:before="280"/>
      </w:pPr>
      <w:r>
        <w:rPr>
          <w:rFonts w:ascii="Arial" w:cs="Arial" w:eastAsia="Arial" w:hAnsi="Arial"/>
          <w:b/>
          <w:bCs/>
          <w:color w:val="065A82"/>
          <w:sz w:val="28"/>
          <w:szCs w:val="28"/>
        </w:rPr>
        <w:t xml:space="preserve">5.5 Accounting Data Model</w:t>
      </w:r>
    </w:p>
    <w:tbl>
      <w:tblPr>
        <w:tblW w:type="dxa" w:w="732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4200"/>
      </w:tblGrid>
      <w:tr>
        <w:trPr>
          <w:tblHeader/>
        </w:trPr>
        <w:tc>
          <w:tcPr>
            <w:tcBorders>
              <w:top w:val="single" w:color="D1E8F0" w:sz="1"/>
              <w:left w:val="single" w:color="D1E8F0" w:sz="1"/>
              <w:bottom w:val="single" w:color="D1E8F0" w:sz="1"/>
              <w:right w:val="single" w:color="D1E8F0" w:sz="1"/>
            </w:tcBorders>
            <w:shd w:fill="065A8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Borders>
              <w:top w:val="single" w:color="D1E8F0" w:sz="1"/>
              <w:left w:val="single" w:color="D1E8F0" w:sz="1"/>
              <w:bottom w:val="single" w:color="D1E8F0" w:sz="1"/>
              <w:right w:val="single" w:color="D1E8F0" w:sz="1"/>
            </w:tcBorders>
            <w:shd w:fill="065A8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Borders>
              <w:top w:val="single" w:color="D1E8F0" w:sz="1"/>
              <w:left w:val="single" w:color="D1E8F0" w:sz="1"/>
              <w:bottom w:val="single" w:color="D1E8F0" w:sz="1"/>
              <w:right w:val="single" w:color="D1E8F0" w:sz="1"/>
            </w:tcBorders>
            <w:shd w:fill="065A8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id</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UUID</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Primary key</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tenant_id</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UUID</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Foreign key to tenants table</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provider</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ENUM (xero/myob/qbo/stripe)</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Which accounting system</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access_token_enc</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BYTEA</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OAuth token, AES-256 encrypted</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refresh_token_enc</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BYTEA</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Refresh token for token rotation</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expires_at</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TIMESTAMP</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When access token expires</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last_sync_at</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TIMESTAMP</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Last successful data sync</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sync_status</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ENUM (synced/syncing/failed)</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Current sync state</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company_id</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VARCHAR(255)</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Account ID in external system</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company_name</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VARCHAR(255)</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Display name (cached)</w:t>
            </w:r>
          </w:p>
        </w:tc>
      </w:tr>
    </w:tbl>
    <w:p>
      <w:pPr>
        <w:spacing w:after="100"/>
      </w:pPr>
    </w:p>
    <w:p>
      <w:pPr>
        <w:pStyle w:val="Heading1"/>
        <w:pageBreakBefore/>
      </w:pPr>
      <w:r>
        <w:rPr>
          <w:rFonts w:ascii="Arial" w:cs="Arial" w:eastAsia="Arial" w:hAnsi="Arial"/>
          <w:b/>
          <w:bCs/>
          <w:color w:val="0D2B3E"/>
          <w:sz w:val="36"/>
          <w:szCs w:val="36"/>
        </w:rPr>
        <w:t xml:space="preserve">6. Dogfooding Strategy: Dolphi as Tenant #0001</w:t>
      </w:r>
    </w:p>
    <w:p>
      <w:pPr>
        <w:spacing w:after="140"/>
      </w:pPr>
      <w:r>
        <w:rPr>
          <w:rFonts w:ascii="Arial" w:cs="Arial" w:eastAsia="Arial" w:hAnsi="Arial"/>
          <w:color w:val="1E293B"/>
          <w:sz w:val="22"/>
          <w:szCs w:val="22"/>
        </w:rPr>
        <w:t xml:space="preserve">Dolphi's entire marketing operation runs on the Dolphi platform. This strategy is central to our product development and go-to-market approach.</w:t>
      </w:r>
    </w:p>
    <w:p>
      <w:pPr>
        <w:spacing w:after="100"/>
      </w:pPr>
    </w:p>
    <w:p>
      <w:pPr>
        <w:pStyle w:val="Heading2"/>
        <w:spacing w:after="120" w:before="280"/>
      </w:pPr>
      <w:r>
        <w:rPr>
          <w:rFonts w:ascii="Arial" w:cs="Arial" w:eastAsia="Arial" w:hAnsi="Arial"/>
          <w:b/>
          <w:bCs/>
          <w:color w:val="065A82"/>
          <w:sz w:val="28"/>
          <w:szCs w:val="28"/>
        </w:rPr>
        <w:t xml:space="preserve">6.1 Marketing Operations on Dolphi</w:t>
      </w:r>
    </w:p>
    <w:p>
      <w:pPr>
        <w:pStyle w:val="ListParagraph"/>
        <w:numPr>
          <w:ilvl w:val="0"/>
          <w:numId w:val="2"/>
        </w:numPr>
        <w:spacing w:after="80"/>
      </w:pPr>
      <w:r>
        <w:rPr>
          <w:rFonts w:ascii="Arial" w:cs="Arial" w:eastAsia="Arial" w:hAnsi="Arial"/>
          <w:b w:val="false"/>
          <w:bCs w:val="false"/>
          <w:color w:val="1E293B"/>
          <w:sz w:val="22"/>
          <w:szCs w:val="22"/>
        </w:rPr>
        <w:t xml:space="preserve">Social Media: all Dolphi posts to Facebook, Instagram, LinkedIn, TikTok created and scheduled via Dolphi</w:t>
      </w:r>
    </w:p>
    <w:p>
      <w:pPr>
        <w:pStyle w:val="ListParagraph"/>
        <w:numPr>
          <w:ilvl w:val="0"/>
          <w:numId w:val="2"/>
        </w:numPr>
        <w:spacing w:after="80"/>
      </w:pPr>
      <w:r>
        <w:rPr>
          <w:rFonts w:ascii="Arial" w:cs="Arial" w:eastAsia="Arial" w:hAnsi="Arial"/>
          <w:b w:val="false"/>
          <w:bCs w:val="false"/>
          <w:color w:val="1E293B"/>
          <w:sz w:val="22"/>
          <w:szCs w:val="22"/>
        </w:rPr>
        <w:t xml:space="preserve">Email Campaigns: all newsletters and promotional sequences managed in Dolphi's email builder</w:t>
      </w:r>
    </w:p>
    <w:p>
      <w:pPr>
        <w:pStyle w:val="ListParagraph"/>
        <w:numPr>
          <w:ilvl w:val="0"/>
          <w:numId w:val="2"/>
        </w:numPr>
        <w:spacing w:after="80"/>
      </w:pPr>
      <w:r>
        <w:rPr>
          <w:rFonts w:ascii="Arial" w:cs="Arial" w:eastAsia="Arial" w:hAnsi="Arial"/>
          <w:b w:val="false"/>
          <w:bCs w:val="false"/>
          <w:color w:val="1E293B"/>
          <w:sz w:val="22"/>
          <w:szCs w:val="22"/>
        </w:rPr>
        <w:t xml:space="preserve">Blog Content: blog posts generated with Dolphi's AI engine, then published via WordPress connector</w:t>
      </w:r>
    </w:p>
    <w:p>
      <w:pPr>
        <w:pStyle w:val="ListParagraph"/>
        <w:numPr>
          <w:ilvl w:val="0"/>
          <w:numId w:val="2"/>
        </w:numPr>
        <w:spacing w:after="80"/>
      </w:pPr>
      <w:r>
        <w:rPr>
          <w:rFonts w:ascii="Arial" w:cs="Arial" w:eastAsia="Arial" w:hAnsi="Arial"/>
          <w:b w:val="false"/>
          <w:bCs w:val="false"/>
          <w:color w:val="1E293B"/>
          <w:sz w:val="22"/>
          <w:szCs w:val="22"/>
        </w:rPr>
        <w:t xml:space="preserve">Paid Advertising: Google Ads and Meta Ads campaigns created and managed through Dolphi's ads module</w:t>
      </w:r>
    </w:p>
    <w:p>
      <w:pPr>
        <w:spacing w:after="100"/>
      </w:pPr>
    </w:p>
    <w:p>
      <w:pPr>
        <w:pStyle w:val="Heading2"/>
        <w:spacing w:after="120" w:before="280"/>
      </w:pPr>
      <w:r>
        <w:rPr>
          <w:rFonts w:ascii="Arial" w:cs="Arial" w:eastAsia="Arial" w:hAnsi="Arial"/>
          <w:b/>
          <w:bCs/>
          <w:color w:val="065A82"/>
          <w:sz w:val="28"/>
          <w:szCs w:val="28"/>
        </w:rPr>
        <w:t xml:space="preserve">6.2 Three-Part Purpose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800"/>
      </w:tblGrid>
      <w:tr>
        <w:tc>
          <w:tcPr>
            <w:tcBorders>
              <w:top w:val="single" w:color="00A896" w:sz="4"/>
              <w:left w:val="single" w:color="00A896" w:sz="4"/>
              <w:bottom w:val="single" w:color="D1E8F0" w:sz="1"/>
              <w:right w:val="single" w:color="D1E8F0" w:sz="1"/>
            </w:tcBorders>
            <w:shd w:fill="EEF9F8" w:val="clear"/>
            <w:tcMar>
              <w:top w:type="dxa" w:w="120"/>
              <w:left w:type="dxa" w:w="180"/>
              <w:bottom w:type="dxa" w:w="120"/>
              <w:right w:type="dxa" w:w="120"/>
            </w:tcMar>
          </w:tcPr>
          <w:p>
            <w:pPr>
              <w:spacing w:after="80"/>
            </w:pPr>
            <w:r>
              <w:rPr>
                <w:rFonts w:ascii="Arial" w:cs="Arial" w:eastAsia="Arial" w:hAnsi="Arial"/>
                <w:b/>
                <w:bCs/>
                <w:color w:val="065A82"/>
                <w:sz w:val="22"/>
                <w:szCs w:val="22"/>
              </w:rPr>
              <w:t xml:space="preserve">Why Dolphi Dogfoods</w:t>
            </w:r>
          </w:p>
          <w:p>
            <w:pPr>
              <w:spacing w:after="60"/>
            </w:pPr>
            <w:r>
              <w:rPr>
                <w:rFonts w:ascii="Arial" w:cs="Arial" w:eastAsia="Arial" w:hAnsi="Arial"/>
                <w:color w:val="1E293B"/>
                <w:sz w:val="20"/>
                <w:szCs w:val="20"/>
              </w:rPr>
              <w:t xml:space="preserve">1. Product Validation: we encounter and fix scalability/usability issues before customers</w:t>
            </w:r>
          </w:p>
          <w:p>
            <w:pPr>
              <w:spacing w:after="60"/>
            </w:pPr>
            <w:r>
              <w:rPr>
                <w:rFonts w:ascii="Arial" w:cs="Arial" w:eastAsia="Arial" w:hAnsi="Arial"/>
                <w:color w:val="1E293B"/>
                <w:sz w:val="20"/>
                <w:szCs w:val="20"/>
              </w:rPr>
              <w:t xml:space="preserve">2. Marketing Proof: real-time results from Dolphi's campaigns published publicly on our website</w:t>
            </w:r>
          </w:p>
          <w:p>
            <w:pPr>
              <w:spacing w:after="60"/>
            </w:pPr>
            <w:r>
              <w:rPr>
                <w:rFonts w:ascii="Arial" w:cs="Arial" w:eastAsia="Arial" w:hAnsi="Arial"/>
                <w:color w:val="1E293B"/>
                <w:sz w:val="20"/>
                <w:szCs w:val="20"/>
              </w:rPr>
              <w:t xml:space="preserve">3. Sales Tool: prospects see live examples of platform capabilities driven by our own marketing</w:t>
            </w:r>
          </w:p>
        </w:tc>
      </w:tr>
    </w:tbl>
    <w:p>
      <w:pPr>
        <w:spacing w:after="100"/>
      </w:pPr>
    </w:p>
    <w:p>
      <w:pPr>
        <w:pStyle w:val="Heading2"/>
        <w:spacing w:after="120" w:before="280"/>
      </w:pPr>
      <w:r>
        <w:rPr>
          <w:rFonts w:ascii="Arial" w:cs="Arial" w:eastAsia="Arial" w:hAnsi="Arial"/>
          <w:b/>
          <w:bCs/>
          <w:color w:val="065A82"/>
          <w:sz w:val="28"/>
          <w:szCs w:val="28"/>
        </w:rPr>
        <w:t xml:space="preserve">6.3 Special Tenant Configuration</w:t>
      </w:r>
    </w:p>
    <w:p>
      <w:pPr>
        <w:spacing w:after="140"/>
      </w:pPr>
      <w:r>
        <w:rPr>
          <w:rFonts w:ascii="Arial" w:cs="Arial" w:eastAsia="Arial" w:hAnsi="Arial"/>
          <w:color w:val="1E293B"/>
          <w:sz w:val="22"/>
          <w:szCs w:val="22"/>
        </w:rPr>
        <w:t xml:space="preserve">Dolphi's tenant record (ID: 00000000-0001-0001-0001-000000000001) includes special flags:</w:t>
      </w:r>
    </w:p>
    <w:p>
      <w:pPr>
        <w:pStyle w:val="ListParagraph"/>
        <w:numPr>
          <w:ilvl w:val="0"/>
          <w:numId w:val="2"/>
        </w:numPr>
        <w:spacing w:after="80"/>
      </w:pPr>
      <w:r>
        <w:rPr>
          <w:rFonts w:ascii="Arial" w:cs="Arial" w:eastAsia="Arial" w:hAnsi="Arial"/>
          <w:b w:val="false"/>
          <w:bCs w:val="false"/>
          <w:color w:val="1E293B"/>
          <w:sz w:val="22"/>
          <w:szCs w:val="22"/>
        </w:rPr>
        <w:t xml:space="preserve">is_internal=true — identifies this as Dolphi's internal account</w:t>
      </w:r>
    </w:p>
    <w:p>
      <w:pPr>
        <w:pStyle w:val="ListParagraph"/>
        <w:numPr>
          <w:ilvl w:val="0"/>
          <w:numId w:val="2"/>
        </w:numPr>
        <w:spacing w:after="80"/>
      </w:pPr>
      <w:r>
        <w:rPr>
          <w:rFonts w:ascii="Arial" w:cs="Arial" w:eastAsia="Arial" w:hAnsi="Arial"/>
          <w:b w:val="false"/>
          <w:bCs w:val="false"/>
          <w:color w:val="1E293B"/>
          <w:sz w:val="22"/>
          <w:szCs w:val="22"/>
        </w:rPr>
        <w:t xml:space="preserve">demo_mode_available=true — allows safe use for prospect demos without affecting real data</w:t>
      </w:r>
    </w:p>
    <w:p>
      <w:pPr>
        <w:pStyle w:val="ListParagraph"/>
        <w:numPr>
          <w:ilvl w:val="0"/>
          <w:numId w:val="2"/>
        </w:numPr>
        <w:spacing w:after="80"/>
      </w:pPr>
      <w:r>
        <w:rPr>
          <w:rFonts w:ascii="Arial" w:cs="Arial" w:eastAsia="Arial" w:hAnsi="Arial"/>
          <w:b w:val="false"/>
          <w:bCs w:val="false"/>
          <w:color w:val="1E293B"/>
          <w:sz w:val="22"/>
          <w:szCs w:val="22"/>
        </w:rPr>
        <w:t xml:space="preserve">featured=true — marketing metrics pulled live for website social proof</w:t>
      </w:r>
    </w:p>
    <w:p>
      <w:pPr>
        <w:pStyle w:val="ListParagraph"/>
        <w:numPr>
          <w:ilvl w:val="0"/>
          <w:numId w:val="2"/>
        </w:numPr>
        <w:spacing w:after="80"/>
      </w:pPr>
      <w:r>
        <w:rPr>
          <w:rFonts w:ascii="Arial" w:cs="Arial" w:eastAsia="Arial" w:hAnsi="Arial"/>
          <w:b w:val="false"/>
          <w:bCs w:val="false"/>
          <w:color w:val="1E293B"/>
          <w:sz w:val="22"/>
          <w:szCs w:val="22"/>
        </w:rPr>
        <w:t xml:space="preserve">priority_support=true — internal issues resolved with highest priority</w:t>
      </w:r>
    </w:p>
    <w:p>
      <w:pPr>
        <w:spacing w:after="100"/>
      </w:pPr>
    </w:p>
    <w:p>
      <w:pPr>
        <w:pStyle w:val="Heading2"/>
        <w:spacing w:after="120" w:before="280"/>
      </w:pPr>
      <w:r>
        <w:rPr>
          <w:rFonts w:ascii="Arial" w:cs="Arial" w:eastAsia="Arial" w:hAnsi="Arial"/>
          <w:b/>
          <w:bCs/>
          <w:color w:val="065A82"/>
          <w:sz w:val="28"/>
          <w:szCs w:val="28"/>
        </w:rPr>
        <w:t xml:space="preserve">6.4 Public Metrics Dashboard</w:t>
      </w:r>
    </w:p>
    <w:p>
      <w:pPr>
        <w:spacing w:after="140"/>
      </w:pPr>
      <w:r>
        <w:rPr>
          <w:rFonts w:ascii="Arial" w:cs="Arial" w:eastAsia="Arial" w:hAnsi="Arial"/>
          <w:color w:val="1E293B"/>
          <w:sz w:val="22"/>
          <w:szCs w:val="22"/>
        </w:rPr>
        <w:t xml:space="preserve">Dolphi publishes key marketing metrics from its own Tenant #0001 on the website: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800"/>
      </w:tblGrid>
      <w:tr>
        <w:tc>
          <w:tcPr>
            <w:tcBorders>
              <w:top w:val="single" w:color="00A896" w:sz="4"/>
              <w:left w:val="single" w:color="00A896" w:sz="4"/>
              <w:bottom w:val="single" w:color="D1E8F0" w:sz="1"/>
              <w:right w:val="single" w:color="D1E8F0" w:sz="1"/>
            </w:tcBorders>
            <w:shd w:fill="EEF9F8" w:val="clear"/>
            <w:tcMar>
              <w:top w:type="dxa" w:w="120"/>
              <w:left w:type="dxa" w:w="180"/>
              <w:bottom w:type="dxa" w:w="120"/>
              <w:right w:type="dxa" w:w="120"/>
            </w:tcMar>
          </w:tcPr>
          <w:p>
            <w:pPr>
              <w:spacing w:after="80"/>
            </w:pPr>
            <w:r>
              <w:rPr>
                <w:rFonts w:ascii="Arial" w:cs="Arial" w:eastAsia="Arial" w:hAnsi="Arial"/>
                <w:b/>
                <w:bCs/>
                <w:color w:val="065A82"/>
                <w:sz w:val="22"/>
                <w:szCs w:val="22"/>
              </w:rPr>
              <w:t xml:space="preserve">Public Metrics from Dolphi's Campaign</w:t>
            </w:r>
          </w:p>
          <w:p>
            <w:pPr>
              <w:spacing w:after="60"/>
            </w:pPr>
            <w:r>
              <w:rPr>
                <w:rFonts w:ascii="Arial" w:cs="Arial" w:eastAsia="Arial" w:hAnsi="Arial"/>
                <w:color w:val="1E293B"/>
                <w:sz w:val="20"/>
                <w:szCs w:val="20"/>
              </w:rPr>
              <w:t xml:space="preserve">• Monthly Reach: total impressions across all social channels</w:t>
            </w:r>
          </w:p>
          <w:p>
            <w:pPr>
              <w:spacing w:after="60"/>
            </w:pPr>
            <w:r>
              <w:rPr>
                <w:rFonts w:ascii="Arial" w:cs="Arial" w:eastAsia="Arial" w:hAnsi="Arial"/>
                <w:color w:val="1E293B"/>
                <w:sz w:val="20"/>
                <w:szCs w:val="20"/>
              </w:rPr>
              <w:t xml:space="preserve">• Email Subscribers: cumulative list growth over time</w:t>
            </w:r>
          </w:p>
          <w:p>
            <w:pPr>
              <w:spacing w:after="60"/>
            </w:pPr>
            <w:r>
              <w:rPr>
                <w:rFonts w:ascii="Arial" w:cs="Arial" w:eastAsia="Arial" w:hAnsi="Arial"/>
                <w:color w:val="1E293B"/>
                <w:sz w:val="20"/>
                <w:szCs w:val="20"/>
              </w:rPr>
              <w:t xml:space="preserve">• Blog Traffic: monthly organic visits to blog posts created via Dolphi</w:t>
            </w:r>
          </w:p>
          <w:p>
            <w:pPr>
              <w:spacing w:after="60"/>
            </w:pPr>
            <w:r>
              <w:rPr>
                <w:rFonts w:ascii="Arial" w:cs="Arial" w:eastAsia="Arial" w:hAnsi="Arial"/>
                <w:color w:val="1E293B"/>
                <w:sz w:val="20"/>
                <w:szCs w:val="20"/>
              </w:rPr>
              <w:t xml:space="preserve">• Paid ROI: cost-per-acquisition and ROAS from Google Ads and Meta campaigns</w:t>
            </w:r>
          </w:p>
          <w:p>
            <w:pPr>
              <w:spacing w:after="60"/>
            </w:pPr>
            <w:r>
              <w:rPr>
                <w:rFonts w:ascii="Arial" w:cs="Arial" w:eastAsia="Arial" w:hAnsi="Arial"/>
                <w:color w:val="1E293B"/>
                <w:sz w:val="20"/>
                <w:szCs w:val="20"/>
              </w:rPr>
              <w:t xml:space="preserve">• All data refreshed daily from live Dolphi account</w:t>
            </w:r>
          </w:p>
        </w:tc>
      </w:tr>
    </w:tbl>
    <w:p>
      <w:pPr>
        <w:spacing w:after="100"/>
      </w:pPr>
    </w:p>
    <w:p>
      <w:pPr>
        <w:pStyle w:val="Heading2"/>
        <w:spacing w:after="120" w:before="280"/>
      </w:pPr>
      <w:r>
        <w:rPr>
          <w:rFonts w:ascii="Arial" w:cs="Arial" w:eastAsia="Arial" w:hAnsi="Arial"/>
          <w:b/>
          <w:bCs/>
          <w:color w:val="065A82"/>
          <w:sz w:val="28"/>
          <w:szCs w:val="28"/>
        </w:rPr>
        <w:t xml:space="preserve">6.5 Product Release Cycle</w:t>
      </w:r>
    </w:p>
    <w:p>
      <w:pPr>
        <w:spacing w:after="140"/>
      </w:pPr>
      <w:r>
        <w:rPr>
          <w:rFonts w:ascii="Arial" w:cs="Arial" w:eastAsia="Arial" w:hAnsi="Arial"/>
          <w:color w:val="1E293B"/>
          <w:sz w:val="22"/>
          <w:szCs w:val="22"/>
        </w:rPr>
        <w:t xml:space="preserve">Every new Dolphi feature is tested and used by Dolphi's marketing team before general availability:</w:t>
      </w:r>
    </w:p>
    <w:p>
      <w:pPr>
        <w:pStyle w:val="ListParagraph"/>
        <w:numPr>
          <w:ilvl w:val="0"/>
          <w:numId w:val="2"/>
        </w:numPr>
        <w:spacing w:after="80"/>
      </w:pPr>
      <w:r>
        <w:rPr>
          <w:rFonts w:ascii="Arial" w:cs="Arial" w:eastAsia="Arial" w:hAnsi="Arial"/>
          <w:b w:val="false"/>
          <w:bCs w:val="false"/>
          <w:color w:val="1E293B"/>
          <w:sz w:val="22"/>
          <w:szCs w:val="22"/>
        </w:rPr>
        <w:t xml:space="preserve">Sprint Planning: Dolphins designs the feature</w:t>
      </w:r>
    </w:p>
    <w:p>
      <w:pPr>
        <w:pStyle w:val="ListParagraph"/>
        <w:numPr>
          <w:ilvl w:val="0"/>
          <w:numId w:val="2"/>
        </w:numPr>
        <w:spacing w:after="80"/>
      </w:pPr>
      <w:r>
        <w:rPr>
          <w:rFonts w:ascii="Arial" w:cs="Arial" w:eastAsia="Arial" w:hAnsi="Arial"/>
          <w:b w:val="false"/>
          <w:bCs w:val="false"/>
          <w:color w:val="1E293B"/>
          <w:sz w:val="22"/>
          <w:szCs w:val="22"/>
        </w:rPr>
        <w:t xml:space="preserve">Development: engineers build the feature</w:t>
      </w:r>
    </w:p>
    <w:p>
      <w:pPr>
        <w:pStyle w:val="ListParagraph"/>
        <w:numPr>
          <w:ilvl w:val="0"/>
          <w:numId w:val="2"/>
        </w:numPr>
        <w:spacing w:after="80"/>
      </w:pPr>
      <w:r>
        <w:rPr>
          <w:rFonts w:ascii="Arial" w:cs="Arial" w:eastAsia="Arial" w:hAnsi="Arial"/>
          <w:b w:val="false"/>
          <w:bCs w:val="false"/>
          <w:color w:val="1E293B"/>
          <w:sz w:val="22"/>
          <w:szCs w:val="22"/>
        </w:rPr>
        <w:t xml:space="preserve">Dogfood: Dolphi marketing team uses the feature in a real campaign</w:t>
      </w:r>
    </w:p>
    <w:p>
      <w:pPr>
        <w:pStyle w:val="ListParagraph"/>
        <w:numPr>
          <w:ilvl w:val="0"/>
          <w:numId w:val="2"/>
        </w:numPr>
        <w:spacing w:after="80"/>
      </w:pPr>
      <w:r>
        <w:rPr>
          <w:rFonts w:ascii="Arial" w:cs="Arial" w:eastAsia="Arial" w:hAnsi="Arial"/>
          <w:b w:val="false"/>
          <w:bCs w:val="false"/>
          <w:color w:val="1E293B"/>
          <w:sz w:val="22"/>
          <w:szCs w:val="22"/>
        </w:rPr>
        <w:t xml:space="preserve">Bug Fixes: feedback and issues resolved based on dogfood usage</w:t>
      </w:r>
    </w:p>
    <w:p>
      <w:pPr>
        <w:pStyle w:val="ListParagraph"/>
        <w:numPr>
          <w:ilvl w:val="0"/>
          <w:numId w:val="2"/>
        </w:numPr>
        <w:spacing w:after="80"/>
      </w:pPr>
      <w:r>
        <w:rPr>
          <w:rFonts w:ascii="Arial" w:cs="Arial" w:eastAsia="Arial" w:hAnsi="Arial"/>
          <w:b w:val="false"/>
          <w:bCs w:val="false"/>
          <w:color w:val="1E293B"/>
          <w:sz w:val="22"/>
          <w:szCs w:val="22"/>
        </w:rPr>
        <w:t xml:space="preserve">GA Release: feature released to all customers</w:t>
      </w:r>
    </w:p>
    <w:p>
      <w:pPr>
        <w:spacing w:after="100"/>
      </w:pPr>
    </w:p>
    <w:p>
      <w:pPr>
        <w:pStyle w:val="Heading1"/>
        <w:pageBreakBefore/>
      </w:pPr>
      <w:r>
        <w:rPr>
          <w:rFonts w:ascii="Arial" w:cs="Arial" w:eastAsia="Arial" w:hAnsi="Arial"/>
          <w:b/>
          <w:bCs/>
          <w:color w:val="0D2B3E"/>
          <w:sz w:val="36"/>
          <w:szCs w:val="36"/>
        </w:rPr>
        <w:t xml:space="preserve">7. Performance &amp; SLA Targets at 10,000 Tenants</w:t>
      </w:r>
    </w:p>
    <w:p>
      <w:pPr>
        <w:pStyle w:val="Heading2"/>
        <w:spacing w:after="120" w:before="280"/>
      </w:pPr>
      <w:r>
        <w:rPr>
          <w:rFonts w:ascii="Arial" w:cs="Arial" w:eastAsia="Arial" w:hAnsi="Arial"/>
          <w:b/>
          <w:bCs/>
          <w:color w:val="065A82"/>
          <w:sz w:val="28"/>
          <w:szCs w:val="28"/>
        </w:rPr>
        <w:t xml:space="preserve">7.1 API Performance</w:t>
      </w:r>
    </w:p>
    <w:tbl>
      <w:tblPr>
        <w:tblW w:type="dxa" w:w="744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3120"/>
      </w:tblGrid>
      <w:tr>
        <w:trPr>
          <w:tblHeader/>
        </w:trPr>
        <w:tc>
          <w:tcPr>
            <w:tcBorders>
              <w:top w:val="single" w:color="D1E8F0" w:sz="1"/>
              <w:left w:val="single" w:color="D1E8F0" w:sz="1"/>
              <w:bottom w:val="single" w:color="D1E8F0" w:sz="1"/>
              <w:right w:val="single" w:color="D1E8F0" w:sz="1"/>
            </w:tcBorders>
            <w:shd w:fill="065A8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Borders>
              <w:top w:val="single" w:color="D1E8F0" w:sz="1"/>
              <w:left w:val="single" w:color="D1E8F0" w:sz="1"/>
              <w:bottom w:val="single" w:color="D1E8F0" w:sz="1"/>
              <w:right w:val="single" w:color="D1E8F0" w:sz="1"/>
            </w:tcBorders>
            <w:shd w:fill="065A8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Borders>
              <w:top w:val="single" w:color="D1E8F0" w:sz="1"/>
              <w:left w:val="single" w:color="D1E8F0" w:sz="1"/>
              <w:bottom w:val="single" w:color="D1E8F0" w:sz="1"/>
              <w:right w:val="single" w:color="D1E8F0" w:sz="1"/>
            </w:tcBorders>
            <w:shd w:fill="065A8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How Achieved</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API p50 latency</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&lt;80ms</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Redis cache for hot data, CDN for static assets</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API p95 latency</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&lt;200ms</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Auto-scaling, connection pooling, read replicas</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API p99 latency</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&lt;800ms</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Circuit breakers on external APIs, retry logic</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Platform Uptime</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99.95% SLA</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Multi-AZ setup, ALB health checks, auto-restart</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AI Generation</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&lt;30s end-to-end</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Async queue, parallel channel generation</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Email Send Latency</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&lt;60s from schedule</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SQS priority queue, dedicated workers</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Social Post Accuracy</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±60 seconds</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Scheduled job with 30s poll interval</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DB Query p95</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&lt;15ms</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Indexes, RLS, read replicas, query optimization</w:t>
            </w:r>
          </w:p>
        </w:tc>
      </w:tr>
    </w:tbl>
    <w:p>
      <w:pPr>
        <w:spacing w:after="100"/>
      </w:pPr>
    </w:p>
    <w:p>
      <w:pPr>
        <w:pStyle w:val="Heading2"/>
        <w:spacing w:after="120" w:before="280"/>
      </w:pPr>
      <w:r>
        <w:rPr>
          <w:rFonts w:ascii="Arial" w:cs="Arial" w:eastAsia="Arial" w:hAnsi="Arial"/>
          <w:b/>
          <w:bCs/>
          <w:color w:val="065A82"/>
          <w:sz w:val="28"/>
          <w:szCs w:val="28"/>
        </w:rPr>
        <w:t xml:space="preserve">7.2 Availability Targets</w:t>
      </w:r>
    </w:p>
    <w:p>
      <w:pPr>
        <w:spacing w:after="140"/>
      </w:pPr>
      <w:r>
        <w:rPr>
          <w:rFonts w:ascii="Arial" w:cs="Arial" w:eastAsia="Arial" w:hAnsi="Arial"/>
          <w:color w:val="1E293B"/>
          <w:sz w:val="22"/>
          <w:szCs w:val="22"/>
        </w:rPr>
        <w:t xml:space="preserve">99.95% uptime means a maximum of 21.6 minutes of unplanned downtime per month. This is achieved through:</w:t>
      </w:r>
    </w:p>
    <w:p>
      <w:pPr>
        <w:pStyle w:val="ListParagraph"/>
        <w:numPr>
          <w:ilvl w:val="0"/>
          <w:numId w:val="2"/>
        </w:numPr>
        <w:spacing w:after="80"/>
      </w:pPr>
      <w:r>
        <w:rPr>
          <w:rFonts w:ascii="Arial" w:cs="Arial" w:eastAsia="Arial" w:hAnsi="Arial"/>
          <w:b w:val="false"/>
          <w:bCs w:val="false"/>
          <w:color w:val="1E293B"/>
          <w:sz w:val="22"/>
          <w:szCs w:val="22"/>
        </w:rPr>
        <w:t xml:space="preserve">Multi-AZ Deployment: API, database, and cache distributed across ap-southeast-2a and ap-southeast-2b</w:t>
      </w:r>
    </w:p>
    <w:p>
      <w:pPr>
        <w:pStyle w:val="ListParagraph"/>
        <w:numPr>
          <w:ilvl w:val="0"/>
          <w:numId w:val="2"/>
        </w:numPr>
        <w:spacing w:after="80"/>
      </w:pPr>
      <w:r>
        <w:rPr>
          <w:rFonts w:ascii="Arial" w:cs="Arial" w:eastAsia="Arial" w:hAnsi="Arial"/>
          <w:b w:val="false"/>
          <w:bCs w:val="false"/>
          <w:color w:val="1E293B"/>
          <w:sz w:val="22"/>
          <w:szCs w:val="22"/>
        </w:rPr>
        <w:t xml:space="preserve">Automated Failover: if one AZ fails, traffic automatically routes to the other</w:t>
      </w:r>
    </w:p>
    <w:p>
      <w:pPr>
        <w:pStyle w:val="ListParagraph"/>
        <w:numPr>
          <w:ilvl w:val="0"/>
          <w:numId w:val="2"/>
        </w:numPr>
        <w:spacing w:after="80"/>
      </w:pPr>
      <w:r>
        <w:rPr>
          <w:rFonts w:ascii="Arial" w:cs="Arial" w:eastAsia="Arial" w:hAnsi="Arial"/>
          <w:b w:val="false"/>
          <w:bCs w:val="false"/>
          <w:color w:val="1E293B"/>
          <w:sz w:val="22"/>
          <w:szCs w:val="22"/>
        </w:rPr>
        <w:t xml:space="preserve">Health Checks: ALB performs health checks every 5 seconds, failing over unhealthy instances</w:t>
      </w:r>
    </w:p>
    <w:p>
      <w:pPr>
        <w:pStyle w:val="ListParagraph"/>
        <w:numPr>
          <w:ilvl w:val="0"/>
          <w:numId w:val="2"/>
        </w:numPr>
        <w:spacing w:after="80"/>
      </w:pPr>
      <w:r>
        <w:rPr>
          <w:rFonts w:ascii="Arial" w:cs="Arial" w:eastAsia="Arial" w:hAnsi="Arial"/>
          <w:b w:val="false"/>
          <w:bCs w:val="false"/>
          <w:color w:val="1E293B"/>
          <w:sz w:val="22"/>
          <w:szCs w:val="22"/>
        </w:rPr>
        <w:t xml:space="preserve">Database Failover: Aurora automatically promotes read replica if primary fails</w:t>
      </w:r>
    </w:p>
    <w:p>
      <w:pPr>
        <w:pStyle w:val="ListParagraph"/>
        <w:numPr>
          <w:ilvl w:val="0"/>
          <w:numId w:val="2"/>
        </w:numPr>
        <w:spacing w:after="80"/>
      </w:pPr>
      <w:r>
        <w:rPr>
          <w:rFonts w:ascii="Arial" w:cs="Arial" w:eastAsia="Arial" w:hAnsi="Arial"/>
          <w:b w:val="false"/>
          <w:bCs w:val="false"/>
          <w:color w:val="1E293B"/>
          <w:sz w:val="22"/>
          <w:szCs w:val="22"/>
        </w:rPr>
        <w:t xml:space="preserve">No Single Points of Failure: load balancers, databases, and cache all distributed</w:t>
      </w:r>
    </w:p>
    <w:p>
      <w:pPr>
        <w:spacing w:after="100"/>
      </w:pPr>
    </w:p>
    <w:p>
      <w:pPr>
        <w:pStyle w:val="Heading2"/>
        <w:spacing w:after="120" w:before="280"/>
      </w:pPr>
      <w:r>
        <w:rPr>
          <w:rFonts w:ascii="Arial" w:cs="Arial" w:eastAsia="Arial" w:hAnsi="Arial"/>
          <w:b/>
          <w:bCs/>
          <w:color w:val="065A82"/>
          <w:sz w:val="28"/>
          <w:szCs w:val="28"/>
        </w:rPr>
        <w:t xml:space="preserve">7.3 Scalability Tests</w:t>
      </w:r>
    </w:p>
    <w:p>
      <w:pPr>
        <w:spacing w:after="140"/>
      </w:pPr>
      <w:r>
        <w:rPr>
          <w:rFonts w:ascii="Arial" w:cs="Arial" w:eastAsia="Arial" w:hAnsi="Arial"/>
          <w:color w:val="1E293B"/>
          <w:sz w:val="22"/>
          <w:szCs w:val="22"/>
        </w:rPr>
        <w:t xml:space="preserve">The infrastructure is load-tested quarterly to verify performance targets are met:</w:t>
      </w:r>
    </w:p>
    <w:p>
      <w:pPr>
        <w:pStyle w:val="ListParagraph"/>
        <w:numPr>
          <w:ilvl w:val="0"/>
          <w:numId w:val="2"/>
        </w:numPr>
        <w:spacing w:after="80"/>
      </w:pPr>
      <w:r>
        <w:rPr>
          <w:rFonts w:ascii="Arial" w:cs="Arial" w:eastAsia="Arial" w:hAnsi="Arial"/>
          <w:b w:val="false"/>
          <w:bCs w:val="false"/>
          <w:color w:val="1E293B"/>
          <w:sz w:val="22"/>
          <w:szCs w:val="22"/>
        </w:rPr>
        <w:t xml:space="preserve">Load Test Scenario: simulate 10K concurrent users, 100 campaigns/minute, 5M email sends/day</w:t>
      </w:r>
    </w:p>
    <w:p>
      <w:pPr>
        <w:pStyle w:val="ListParagraph"/>
        <w:numPr>
          <w:ilvl w:val="0"/>
          <w:numId w:val="2"/>
        </w:numPr>
        <w:spacing w:after="80"/>
      </w:pPr>
      <w:r>
        <w:rPr>
          <w:rFonts w:ascii="Arial" w:cs="Arial" w:eastAsia="Arial" w:hAnsi="Arial"/>
          <w:b w:val="false"/>
          <w:bCs w:val="false"/>
          <w:color w:val="1E293B"/>
          <w:sz w:val="22"/>
          <w:szCs w:val="22"/>
        </w:rPr>
        <w:t xml:space="preserve">Tool: Apache JMeter for API load testing, custom Python script for queue simulation</w:t>
      </w:r>
    </w:p>
    <w:p>
      <w:pPr>
        <w:pStyle w:val="ListParagraph"/>
        <w:numPr>
          <w:ilvl w:val="0"/>
          <w:numId w:val="2"/>
        </w:numPr>
        <w:spacing w:after="80"/>
      </w:pPr>
      <w:r>
        <w:rPr>
          <w:rFonts w:ascii="Arial" w:cs="Arial" w:eastAsia="Arial" w:hAnsi="Arial"/>
          <w:b w:val="false"/>
          <w:bCs w:val="false"/>
          <w:color w:val="1E293B"/>
          <w:sz w:val="22"/>
          <w:szCs w:val="22"/>
        </w:rPr>
        <w:t xml:space="preserve">Success Criteria: p95 latency stays &lt;200ms, no errors, auto-scaling responds within 2 minutes</w:t>
      </w:r>
    </w:p>
    <w:p>
      <w:pPr>
        <w:spacing w:after="100"/>
      </w:pPr>
    </w:p>
    <w:p>
      <w:pPr>
        <w:pStyle w:val="Heading1"/>
        <w:pageBreakBefore/>
      </w:pPr>
      <w:r>
        <w:rPr>
          <w:rFonts w:ascii="Arial" w:cs="Arial" w:eastAsia="Arial" w:hAnsi="Arial"/>
          <w:b/>
          <w:bCs/>
          <w:color w:val="0D2B3E"/>
          <w:sz w:val="36"/>
          <w:szCs w:val="36"/>
        </w:rPr>
        <w:t xml:space="preserve">8. Security at Scale</w:t>
      </w:r>
    </w:p>
    <w:p>
      <w:pPr>
        <w:pStyle w:val="Heading2"/>
        <w:spacing w:after="120" w:before="280"/>
      </w:pPr>
      <w:r>
        <w:rPr>
          <w:rFonts w:ascii="Arial" w:cs="Arial" w:eastAsia="Arial" w:hAnsi="Arial"/>
          <w:b/>
          <w:bCs/>
          <w:color w:val="065A82"/>
          <w:sz w:val="28"/>
          <w:szCs w:val="28"/>
        </w:rPr>
        <w:t xml:space="preserve">8.1 Secrets Management</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800"/>
      </w:tblGrid>
      <w:tr>
        <w:tc>
          <w:tcPr>
            <w:tcBorders>
              <w:top w:val="single" w:color="00A896" w:sz="4"/>
              <w:left w:val="single" w:color="00A896" w:sz="4"/>
              <w:bottom w:val="single" w:color="D1E8F0" w:sz="1"/>
              <w:right w:val="single" w:color="D1E8F0" w:sz="1"/>
            </w:tcBorders>
            <w:shd w:fill="EEF9F8" w:val="clear"/>
            <w:tcMar>
              <w:top w:type="dxa" w:w="120"/>
              <w:left w:type="dxa" w:w="180"/>
              <w:bottom w:type="dxa" w:w="120"/>
              <w:right w:type="dxa" w:w="120"/>
            </w:tcMar>
          </w:tcPr>
          <w:p>
            <w:pPr>
              <w:spacing w:after="80"/>
            </w:pPr>
            <w:r>
              <w:rPr>
                <w:rFonts w:ascii="Arial" w:cs="Arial" w:eastAsia="Arial" w:hAnsi="Arial"/>
                <w:b/>
                <w:bCs/>
                <w:color w:val="065A82"/>
                <w:sz w:val="22"/>
                <w:szCs w:val="22"/>
              </w:rPr>
              <w:t xml:space="preserve">Secrets Storage</w:t>
            </w:r>
          </w:p>
          <w:p>
            <w:pPr>
              <w:spacing w:after="60"/>
            </w:pPr>
            <w:r>
              <w:rPr>
                <w:rFonts w:ascii="Arial" w:cs="Arial" w:eastAsia="Arial" w:hAnsi="Arial"/>
                <w:color w:val="1E293B"/>
                <w:sz w:val="20"/>
                <w:szCs w:val="20"/>
              </w:rPr>
              <w:t xml:space="preserve">• All secrets stored in AWS Secrets Manager (no secrets in code or env vars)</w:t>
            </w:r>
          </w:p>
          <w:p>
            <w:pPr>
              <w:spacing w:after="60"/>
            </w:pPr>
            <w:r>
              <w:rPr>
                <w:rFonts w:ascii="Arial" w:cs="Arial" w:eastAsia="Arial" w:hAnsi="Arial"/>
                <w:color w:val="1E293B"/>
                <w:sz w:val="20"/>
                <w:szCs w:val="20"/>
              </w:rPr>
              <w:t xml:space="preserve">• Rotation: automatically rotated every 30 days via Lambda functions</w:t>
            </w:r>
          </w:p>
          <w:p>
            <w:pPr>
              <w:spacing w:after="60"/>
            </w:pPr>
            <w:r>
              <w:rPr>
                <w:rFonts w:ascii="Arial" w:cs="Arial" w:eastAsia="Arial" w:hAnsi="Arial"/>
                <w:color w:val="1E293B"/>
                <w:sz w:val="20"/>
                <w:szCs w:val="20"/>
              </w:rPr>
              <w:t xml:space="preserve">• Access: only services with explicit IAM permissions can retrieve secrets</w:t>
            </w:r>
          </w:p>
          <w:p>
            <w:pPr>
              <w:spacing w:after="60"/>
            </w:pPr>
            <w:r>
              <w:rPr>
                <w:rFonts w:ascii="Arial" w:cs="Arial" w:eastAsia="Arial" w:hAnsi="Arial"/>
                <w:color w:val="1E293B"/>
                <w:sz w:val="20"/>
                <w:szCs w:val="20"/>
              </w:rPr>
              <w:t xml:space="preserve">• Audit: all secret access logged to CloudTrail</w:t>
            </w:r>
          </w:p>
        </w:tc>
      </w:tr>
    </w:tbl>
    <w:p>
      <w:pPr>
        <w:spacing w:after="100"/>
      </w:pPr>
    </w:p>
    <w:p>
      <w:pPr>
        <w:pStyle w:val="Heading2"/>
        <w:spacing w:after="120" w:before="280"/>
      </w:pPr>
      <w:r>
        <w:rPr>
          <w:rFonts w:ascii="Arial" w:cs="Arial" w:eastAsia="Arial" w:hAnsi="Arial"/>
          <w:b/>
          <w:bCs/>
          <w:color w:val="065A82"/>
          <w:sz w:val="28"/>
          <w:szCs w:val="28"/>
        </w:rPr>
        <w:t xml:space="preserve">8.2 OAuth Token Encryption</w:t>
      </w:r>
    </w:p>
    <w:p>
      <w:pPr>
        <w:spacing w:after="140"/>
      </w:pPr>
      <w:r>
        <w:rPr>
          <w:rFonts w:ascii="Arial" w:cs="Arial" w:eastAsia="Arial" w:hAnsi="Arial"/>
          <w:color w:val="1E293B"/>
          <w:sz w:val="22"/>
          <w:szCs w:val="22"/>
        </w:rPr>
        <w:t xml:space="preserve">All OAuth tokens (from Xero, MYOB, QuickBooks, social platforms) are encrypted AES-256-GCM at rest and decrypted only in-memory when needed:</w:t>
      </w:r>
    </w:p>
    <w:p>
      <w:pPr>
        <w:pStyle w:val="ListParagraph"/>
        <w:numPr>
          <w:ilvl w:val="0"/>
          <w:numId w:val="2"/>
        </w:numPr>
        <w:spacing w:after="80"/>
      </w:pPr>
      <w:r>
        <w:rPr>
          <w:rFonts w:ascii="Arial" w:cs="Arial" w:eastAsia="Arial" w:hAnsi="Arial"/>
          <w:b w:val="false"/>
          <w:bCs w:val="false"/>
          <w:color w:val="1E293B"/>
          <w:sz w:val="22"/>
          <w:szCs w:val="22"/>
        </w:rPr>
        <w:t xml:space="preserve">Encryption: AES-256-GCM with unique IV per token</w:t>
      </w:r>
    </w:p>
    <w:p>
      <w:pPr>
        <w:pStyle w:val="ListParagraph"/>
        <w:numPr>
          <w:ilvl w:val="0"/>
          <w:numId w:val="2"/>
        </w:numPr>
        <w:spacing w:after="80"/>
      </w:pPr>
      <w:r>
        <w:rPr>
          <w:rFonts w:ascii="Arial" w:cs="Arial" w:eastAsia="Arial" w:hAnsi="Arial"/>
          <w:b w:val="false"/>
          <w:bCs w:val="false"/>
          <w:color w:val="1E293B"/>
          <w:sz w:val="22"/>
          <w:szCs w:val="22"/>
        </w:rPr>
        <w:t xml:space="preserve">Key Management: KMS-managed keys, keys rotated quarterly</w:t>
      </w:r>
    </w:p>
    <w:p>
      <w:pPr>
        <w:pStyle w:val="ListParagraph"/>
        <w:numPr>
          <w:ilvl w:val="0"/>
          <w:numId w:val="2"/>
        </w:numPr>
        <w:spacing w:after="80"/>
      </w:pPr>
      <w:r>
        <w:rPr>
          <w:rFonts w:ascii="Arial" w:cs="Arial" w:eastAsia="Arial" w:hAnsi="Arial"/>
          <w:b w:val="false"/>
          <w:bCs w:val="false"/>
          <w:color w:val="1E293B"/>
          <w:sz w:val="22"/>
          <w:szCs w:val="22"/>
        </w:rPr>
        <w:t xml:space="preserve">Decryption: tokens decrypted in-memory, never logged or cached</w:t>
      </w:r>
    </w:p>
    <w:p>
      <w:pPr>
        <w:pStyle w:val="ListParagraph"/>
        <w:numPr>
          <w:ilvl w:val="0"/>
          <w:numId w:val="2"/>
        </w:numPr>
        <w:spacing w:after="80"/>
      </w:pPr>
      <w:r>
        <w:rPr>
          <w:rFonts w:ascii="Arial" w:cs="Arial" w:eastAsia="Arial" w:hAnsi="Arial"/>
          <w:b w:val="false"/>
          <w:bCs w:val="false"/>
          <w:color w:val="1E293B"/>
          <w:sz w:val="22"/>
          <w:szCs w:val="22"/>
        </w:rPr>
        <w:t xml:space="preserve">Memory Protection: sensitive data cleared from memory immediately after use</w:t>
      </w:r>
    </w:p>
    <w:p>
      <w:pPr>
        <w:spacing w:after="100"/>
      </w:pPr>
    </w:p>
    <w:p>
      <w:pPr>
        <w:pStyle w:val="Heading2"/>
        <w:spacing w:after="120" w:before="280"/>
      </w:pPr>
      <w:r>
        <w:rPr>
          <w:rFonts w:ascii="Arial" w:cs="Arial" w:eastAsia="Arial" w:hAnsi="Arial"/>
          <w:b/>
          <w:bCs/>
          <w:color w:val="065A82"/>
          <w:sz w:val="28"/>
          <w:szCs w:val="28"/>
        </w:rPr>
        <w:t xml:space="preserve">8.3 API Key Hashing</w:t>
      </w:r>
    </w:p>
    <w:p>
      <w:pPr>
        <w:spacing w:after="140"/>
      </w:pPr>
      <w:r>
        <w:rPr>
          <w:rFonts w:ascii="Arial" w:cs="Arial" w:eastAsia="Arial" w:hAnsi="Arial"/>
          <w:color w:val="1E293B"/>
          <w:sz w:val="22"/>
          <w:szCs w:val="22"/>
        </w:rPr>
        <w:t xml:space="preserve">Tenant API keys are hashed with SHA-256, never stored in plaintext:</w:t>
      </w:r>
    </w:p>
    <w:p>
      <w:pPr>
        <w:pStyle w:val="ListParagraph"/>
        <w:numPr>
          <w:ilvl w:val="0"/>
          <w:numId w:val="2"/>
        </w:numPr>
        <w:spacing w:after="80"/>
      </w:pPr>
      <w:r>
        <w:rPr>
          <w:rFonts w:ascii="Arial" w:cs="Arial" w:eastAsia="Arial" w:hAnsi="Arial"/>
          <w:b w:val="false"/>
          <w:bCs w:val="false"/>
          <w:color w:val="1E293B"/>
          <w:sz w:val="22"/>
          <w:szCs w:val="22"/>
        </w:rPr>
        <w:t xml:space="preserve">Key Generation: 32 random bytes, Base64 encoded, returned once to user</w:t>
      </w:r>
    </w:p>
    <w:p>
      <w:pPr>
        <w:pStyle w:val="ListParagraph"/>
        <w:numPr>
          <w:ilvl w:val="0"/>
          <w:numId w:val="2"/>
        </w:numPr>
        <w:spacing w:after="80"/>
      </w:pPr>
      <w:r>
        <w:rPr>
          <w:rFonts w:ascii="Arial" w:cs="Arial" w:eastAsia="Arial" w:hAnsi="Arial"/>
          <w:b w:val="false"/>
          <w:bCs w:val="false"/>
          <w:color w:val="1E293B"/>
          <w:sz w:val="22"/>
          <w:szCs w:val="22"/>
        </w:rPr>
        <w:t xml:space="preserve">Storage: only hash stored in database</w:t>
      </w:r>
    </w:p>
    <w:p>
      <w:pPr>
        <w:pStyle w:val="ListParagraph"/>
        <w:numPr>
          <w:ilvl w:val="0"/>
          <w:numId w:val="2"/>
        </w:numPr>
        <w:spacing w:after="80"/>
      </w:pPr>
      <w:r>
        <w:rPr>
          <w:rFonts w:ascii="Arial" w:cs="Arial" w:eastAsia="Arial" w:hAnsi="Arial"/>
          <w:b w:val="false"/>
          <w:bCs w:val="false"/>
          <w:color w:val="1E293B"/>
          <w:sz w:val="22"/>
          <w:szCs w:val="22"/>
        </w:rPr>
        <w:t xml:space="preserve">Validation: incoming API key hashed and compared to stored hash</w:t>
      </w:r>
    </w:p>
    <w:p>
      <w:pPr>
        <w:spacing w:after="100"/>
      </w:pPr>
    </w:p>
    <w:p>
      <w:pPr>
        <w:pStyle w:val="Heading2"/>
        <w:spacing w:after="120" w:before="280"/>
      </w:pPr>
      <w:r>
        <w:rPr>
          <w:rFonts w:ascii="Arial" w:cs="Arial" w:eastAsia="Arial" w:hAnsi="Arial"/>
          <w:b/>
          <w:bCs/>
          <w:color w:val="065A82"/>
          <w:sz w:val="28"/>
          <w:szCs w:val="28"/>
        </w:rPr>
        <w:t xml:space="preserve">8.4 Web Application Firewall</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800"/>
      </w:tblGrid>
      <w:tr>
        <w:tc>
          <w:tcPr>
            <w:tcBorders>
              <w:top w:val="single" w:color="00A896" w:sz="4"/>
              <w:left w:val="single" w:color="00A896" w:sz="4"/>
              <w:bottom w:val="single" w:color="D1E8F0" w:sz="1"/>
              <w:right w:val="single" w:color="D1E8F0" w:sz="1"/>
            </w:tcBorders>
            <w:shd w:fill="EEF9F8" w:val="clear"/>
            <w:tcMar>
              <w:top w:type="dxa" w:w="120"/>
              <w:left w:type="dxa" w:w="180"/>
              <w:bottom w:type="dxa" w:w="120"/>
              <w:right w:type="dxa" w:w="120"/>
            </w:tcMar>
          </w:tcPr>
          <w:p>
            <w:pPr>
              <w:spacing w:after="80"/>
            </w:pPr>
            <w:r>
              <w:rPr>
                <w:rFonts w:ascii="Arial" w:cs="Arial" w:eastAsia="Arial" w:hAnsi="Arial"/>
                <w:b/>
                <w:bCs/>
                <w:color w:val="065A82"/>
                <w:sz w:val="22"/>
                <w:szCs w:val="22"/>
              </w:rPr>
              <w:t xml:space="preserve">AWS WAF Configuration</w:t>
            </w:r>
          </w:p>
          <w:p>
            <w:pPr>
              <w:spacing w:after="60"/>
            </w:pPr>
            <w:r>
              <w:rPr>
                <w:rFonts w:ascii="Arial" w:cs="Arial" w:eastAsia="Arial" w:hAnsi="Arial"/>
                <w:color w:val="1E293B"/>
                <w:sz w:val="20"/>
                <w:szCs w:val="20"/>
              </w:rPr>
              <w:t xml:space="preserve">• Rate Limiting: 10,000 requests per 5 minutes per IP</w:t>
            </w:r>
          </w:p>
          <w:p>
            <w:pPr>
              <w:spacing w:after="60"/>
            </w:pPr>
            <w:r>
              <w:rPr>
                <w:rFonts w:ascii="Arial" w:cs="Arial" w:eastAsia="Arial" w:hAnsi="Arial"/>
                <w:color w:val="1E293B"/>
                <w:sz w:val="20"/>
                <w:szCs w:val="20"/>
              </w:rPr>
              <w:t xml:space="preserve">• SQL Injection: AWS Managed Rule for SQL Injection protection</w:t>
            </w:r>
          </w:p>
          <w:p>
            <w:pPr>
              <w:spacing w:after="60"/>
            </w:pPr>
            <w:r>
              <w:rPr>
                <w:rFonts w:ascii="Arial" w:cs="Arial" w:eastAsia="Arial" w:hAnsi="Arial"/>
                <w:color w:val="1E293B"/>
                <w:sz w:val="20"/>
                <w:szCs w:val="20"/>
              </w:rPr>
              <w:t xml:space="preserve">• XSS: AWS Managed Rule for XSS protection</w:t>
            </w:r>
          </w:p>
          <w:p>
            <w:pPr>
              <w:spacing w:after="60"/>
            </w:pPr>
            <w:r>
              <w:rPr>
                <w:rFonts w:ascii="Arial" w:cs="Arial" w:eastAsia="Arial" w:hAnsi="Arial"/>
                <w:color w:val="1E293B"/>
                <w:sz w:val="20"/>
                <w:szCs w:val="20"/>
              </w:rPr>
              <w:t xml:space="preserve">• Known CVEs: AWS Managed Rule for known CVE protection</w:t>
            </w:r>
          </w:p>
          <w:p>
            <w:pPr>
              <w:spacing w:after="60"/>
            </w:pPr>
            <w:r>
              <w:rPr>
                <w:rFonts w:ascii="Arial" w:cs="Arial" w:eastAsia="Arial" w:hAnsi="Arial"/>
                <w:color w:val="1E293B"/>
                <w:sz w:val="20"/>
                <w:szCs w:val="20"/>
              </w:rPr>
              <w:t xml:space="preserve">• Custom Rules: block high-risk user agents, enforce HTTPS only</w:t>
            </w:r>
          </w:p>
        </w:tc>
      </w:tr>
    </w:tbl>
    <w:p>
      <w:pPr>
        <w:spacing w:after="100"/>
      </w:pPr>
    </w:p>
    <w:p>
      <w:pPr>
        <w:pStyle w:val="Heading2"/>
        <w:spacing w:after="120" w:before="280"/>
      </w:pPr>
      <w:r>
        <w:rPr>
          <w:rFonts w:ascii="Arial" w:cs="Arial" w:eastAsia="Arial" w:hAnsi="Arial"/>
          <w:b/>
          <w:bCs/>
          <w:color w:val="065A82"/>
          <w:sz w:val="28"/>
          <w:szCs w:val="28"/>
        </w:rPr>
        <w:t xml:space="preserve">8.5 DDoS Protection</w:t>
      </w:r>
    </w:p>
    <w:p>
      <w:pPr>
        <w:pStyle w:val="ListParagraph"/>
        <w:numPr>
          <w:ilvl w:val="0"/>
          <w:numId w:val="2"/>
        </w:numPr>
        <w:spacing w:after="80"/>
      </w:pPr>
      <w:r>
        <w:rPr>
          <w:rFonts w:ascii="Arial" w:cs="Arial" w:eastAsia="Arial" w:hAnsi="Arial"/>
          <w:b w:val="false"/>
          <w:bCs w:val="false"/>
          <w:color w:val="1E293B"/>
          <w:sz w:val="22"/>
          <w:szCs w:val="22"/>
        </w:rPr>
        <w:t xml:space="preserve">AWS Shield Standard: included with all AWS accounts, basic DDoS protection</w:t>
      </w:r>
    </w:p>
    <w:p>
      <w:pPr>
        <w:pStyle w:val="ListParagraph"/>
        <w:numPr>
          <w:ilvl w:val="0"/>
          <w:numId w:val="2"/>
        </w:numPr>
        <w:spacing w:after="80"/>
      </w:pPr>
      <w:r>
        <w:rPr>
          <w:rFonts w:ascii="Arial" w:cs="Arial" w:eastAsia="Arial" w:hAnsi="Arial"/>
          <w:b w:val="false"/>
          <w:bCs w:val="false"/>
          <w:color w:val="1E293B"/>
          <w:sz w:val="22"/>
          <w:szCs w:val="22"/>
        </w:rPr>
        <w:t xml:space="preserve">AWS Shield Advanced: activated for Agency and Enterprise tiers, advanced DDoS mitigation</w:t>
      </w:r>
    </w:p>
    <w:p>
      <w:pPr>
        <w:spacing w:after="100"/>
      </w:pPr>
    </w:p>
    <w:p>
      <w:pPr>
        <w:pStyle w:val="Heading2"/>
        <w:spacing w:after="120" w:before="280"/>
      </w:pPr>
      <w:r>
        <w:rPr>
          <w:rFonts w:ascii="Arial" w:cs="Arial" w:eastAsia="Arial" w:hAnsi="Arial"/>
          <w:b/>
          <w:bCs/>
          <w:color w:val="065A82"/>
          <w:sz w:val="28"/>
          <w:szCs w:val="28"/>
        </w:rPr>
        <w:t xml:space="preserve">8.6 Penetration Testing</w:t>
      </w:r>
    </w:p>
    <w:p>
      <w:pPr>
        <w:spacing w:after="140"/>
      </w:pPr>
      <w:r>
        <w:rPr>
          <w:rFonts w:ascii="Arial" w:cs="Arial" w:eastAsia="Arial" w:hAnsi="Arial"/>
          <w:color w:val="1E293B"/>
          <w:sz w:val="22"/>
          <w:szCs w:val="22"/>
        </w:rPr>
        <w:t xml:space="preserve">Security testing is conducted on a regular schedule:</w:t>
      </w:r>
    </w:p>
    <w:p>
      <w:pPr>
        <w:pStyle w:val="ListParagraph"/>
        <w:numPr>
          <w:ilvl w:val="0"/>
          <w:numId w:val="2"/>
        </w:numPr>
        <w:spacing w:after="80"/>
      </w:pPr>
      <w:r>
        <w:rPr>
          <w:rFonts w:ascii="Arial" w:cs="Arial" w:eastAsia="Arial" w:hAnsi="Arial"/>
          <w:b w:val="false"/>
          <w:bCs w:val="false"/>
          <w:color w:val="1E293B"/>
          <w:sz w:val="22"/>
          <w:szCs w:val="22"/>
        </w:rPr>
        <w:t xml:space="preserve">Quarterly: automated OWASP ZAP scans of all web interfaces</w:t>
      </w:r>
    </w:p>
    <w:p>
      <w:pPr>
        <w:pStyle w:val="ListParagraph"/>
        <w:numPr>
          <w:ilvl w:val="0"/>
          <w:numId w:val="2"/>
        </w:numPr>
        <w:spacing w:after="80"/>
      </w:pPr>
      <w:r>
        <w:rPr>
          <w:rFonts w:ascii="Arial" w:cs="Arial" w:eastAsia="Arial" w:hAnsi="Arial"/>
          <w:b w:val="false"/>
          <w:bCs w:val="false"/>
          <w:color w:val="1E293B"/>
          <w:sz w:val="22"/>
          <w:szCs w:val="22"/>
        </w:rPr>
        <w:t xml:space="preserve">Annual: manual penetration testing by third-party security firm</w:t>
      </w:r>
    </w:p>
    <w:p>
      <w:pPr>
        <w:pStyle w:val="ListParagraph"/>
        <w:numPr>
          <w:ilvl w:val="0"/>
          <w:numId w:val="2"/>
        </w:numPr>
        <w:spacing w:after="80"/>
      </w:pPr>
      <w:r>
        <w:rPr>
          <w:rFonts w:ascii="Arial" w:cs="Arial" w:eastAsia="Arial" w:hAnsi="Arial"/>
          <w:b w:val="false"/>
          <w:bCs w:val="false"/>
          <w:color w:val="1E293B"/>
          <w:sz w:val="22"/>
          <w:szCs w:val="22"/>
        </w:rPr>
        <w:t xml:space="preserve">Post-Release: critical features undergo security review before GA</w:t>
      </w:r>
    </w:p>
    <w:p>
      <w:pPr>
        <w:spacing w:after="100"/>
      </w:pPr>
    </w:p>
    <w:p>
      <w:pPr>
        <w:pStyle w:val="Heading2"/>
        <w:spacing w:after="120" w:before="280"/>
      </w:pPr>
      <w:r>
        <w:rPr>
          <w:rFonts w:ascii="Arial" w:cs="Arial" w:eastAsia="Arial" w:hAnsi="Arial"/>
          <w:b/>
          <w:bCs/>
          <w:color w:val="065A82"/>
          <w:sz w:val="28"/>
          <w:szCs w:val="28"/>
        </w:rPr>
        <w:t xml:space="preserve">8.7 SOC 2 Type II Compliance</w:t>
      </w:r>
    </w:p>
    <w:p>
      <w:pPr>
        <w:spacing w:after="140"/>
      </w:pPr>
      <w:r>
        <w:rPr>
          <w:rFonts w:ascii="Arial" w:cs="Arial" w:eastAsia="Arial" w:hAnsi="Arial"/>
          <w:color w:val="1E293B"/>
          <w:sz w:val="22"/>
          <w:szCs w:val="22"/>
        </w:rPr>
        <w:t xml:space="preserve">SOC 2 Type II certification is planned for Year 2 (required for Agency/Enterprise tier sales):</w:t>
      </w:r>
    </w:p>
    <w:p>
      <w:pPr>
        <w:pStyle w:val="ListParagraph"/>
        <w:numPr>
          <w:ilvl w:val="0"/>
          <w:numId w:val="2"/>
        </w:numPr>
        <w:spacing w:after="80"/>
      </w:pPr>
      <w:r>
        <w:rPr>
          <w:rFonts w:ascii="Arial" w:cs="Arial" w:eastAsia="Arial" w:hAnsi="Arial"/>
          <w:b w:val="false"/>
          <w:bCs w:val="false"/>
          <w:color w:val="1E293B"/>
          <w:sz w:val="22"/>
          <w:szCs w:val="22"/>
        </w:rPr>
        <w:t xml:space="preserve">Scope: controls over security, availability, and confidentiality</w:t>
      </w:r>
    </w:p>
    <w:p>
      <w:pPr>
        <w:pStyle w:val="ListParagraph"/>
        <w:numPr>
          <w:ilvl w:val="0"/>
          <w:numId w:val="2"/>
        </w:numPr>
        <w:spacing w:after="80"/>
      </w:pPr>
      <w:r>
        <w:rPr>
          <w:rFonts w:ascii="Arial" w:cs="Arial" w:eastAsia="Arial" w:hAnsi="Arial"/>
          <w:b w:val="false"/>
          <w:bCs w:val="false"/>
          <w:color w:val="1E293B"/>
          <w:sz w:val="22"/>
          <w:szCs w:val="22"/>
        </w:rPr>
        <w:t xml:space="preserve">Audit: 6-month assessment period by Big 4 accounting firm</w:t>
      </w:r>
    </w:p>
    <w:p>
      <w:pPr>
        <w:pStyle w:val="ListParagraph"/>
        <w:numPr>
          <w:ilvl w:val="0"/>
          <w:numId w:val="2"/>
        </w:numPr>
        <w:spacing w:after="80"/>
      </w:pPr>
      <w:r>
        <w:rPr>
          <w:rFonts w:ascii="Arial" w:cs="Arial" w:eastAsia="Arial" w:hAnsi="Arial"/>
          <w:b w:val="false"/>
          <w:bCs w:val="false"/>
          <w:color w:val="1E293B"/>
          <w:sz w:val="22"/>
          <w:szCs w:val="22"/>
        </w:rPr>
        <w:t xml:space="preserve">Certification: valid for 1 year, then annual re-assessment</w:t>
      </w:r>
    </w:p>
    <w:p>
      <w:pPr>
        <w:spacing w:after="100"/>
      </w:pPr>
    </w:p>
    <w:p>
      <w:pPr>
        <w:pStyle w:val="Heading2"/>
        <w:spacing w:after="120" w:before="280"/>
      </w:pPr>
      <w:r>
        <w:rPr>
          <w:rFonts w:ascii="Arial" w:cs="Arial" w:eastAsia="Arial" w:hAnsi="Arial"/>
          <w:b/>
          <w:bCs/>
          <w:color w:val="065A82"/>
          <w:sz w:val="28"/>
          <w:szCs w:val="28"/>
        </w:rPr>
        <w:t xml:space="preserve">8.8 Audit Logging</w:t>
      </w:r>
    </w:p>
    <w:p>
      <w:pPr>
        <w:spacing w:after="140"/>
      </w:pPr>
      <w:r>
        <w:rPr>
          <w:rFonts w:ascii="Arial" w:cs="Arial" w:eastAsia="Arial" w:hAnsi="Arial"/>
          <w:color w:val="1E293B"/>
          <w:sz w:val="22"/>
          <w:szCs w:val="22"/>
        </w:rPr>
        <w:t xml:space="preserve">All tenant data access is logged to an immutable CloudWatch log group:</w:t>
      </w:r>
    </w:p>
    <w:p>
      <w:pPr>
        <w:pStyle w:val="ListParagraph"/>
        <w:numPr>
          <w:ilvl w:val="0"/>
          <w:numId w:val="2"/>
        </w:numPr>
        <w:spacing w:after="80"/>
      </w:pPr>
      <w:r>
        <w:rPr>
          <w:rFonts w:ascii="Arial" w:cs="Arial" w:eastAsia="Arial" w:hAnsi="Arial"/>
          <w:b w:val="false"/>
          <w:bCs w:val="false"/>
          <w:color w:val="1E293B"/>
          <w:sz w:val="22"/>
          <w:szCs w:val="22"/>
        </w:rPr>
        <w:t xml:space="preserve">Logged Events: API calls, data access, OAuth token refreshes, user role changes</w:t>
      </w:r>
    </w:p>
    <w:p>
      <w:pPr>
        <w:pStyle w:val="ListParagraph"/>
        <w:numPr>
          <w:ilvl w:val="0"/>
          <w:numId w:val="2"/>
        </w:numPr>
        <w:spacing w:after="80"/>
      </w:pPr>
      <w:r>
        <w:rPr>
          <w:rFonts w:ascii="Arial" w:cs="Arial" w:eastAsia="Arial" w:hAnsi="Arial"/>
          <w:b w:val="false"/>
          <w:bCs w:val="false"/>
          <w:color w:val="1E293B"/>
          <w:sz w:val="22"/>
          <w:szCs w:val="22"/>
        </w:rPr>
        <w:t xml:space="preserve">Log Retention: 1 year in CloudWatch, 7 years in S3 Glacier</w:t>
      </w:r>
    </w:p>
    <w:p>
      <w:pPr>
        <w:pStyle w:val="ListParagraph"/>
        <w:numPr>
          <w:ilvl w:val="0"/>
          <w:numId w:val="2"/>
        </w:numPr>
        <w:spacing w:after="80"/>
      </w:pPr>
      <w:r>
        <w:rPr>
          <w:rFonts w:ascii="Arial" w:cs="Arial" w:eastAsia="Arial" w:hAnsi="Arial"/>
          <w:b w:val="false"/>
          <w:bCs w:val="false"/>
          <w:color w:val="1E293B"/>
          <w:sz w:val="22"/>
          <w:szCs w:val="22"/>
        </w:rPr>
        <w:t xml:space="preserve">Immutability: logs stored in S3 with Object Lock enabled, cannot be deleted</w:t>
      </w:r>
    </w:p>
    <w:p>
      <w:pPr>
        <w:spacing w:after="100"/>
      </w:pPr>
    </w:p>
    <w:p>
      <w:pPr>
        <w:pStyle w:val="Heading2"/>
        <w:spacing w:after="120" w:before="280"/>
      </w:pPr>
      <w:r>
        <w:rPr>
          <w:rFonts w:ascii="Arial" w:cs="Arial" w:eastAsia="Arial" w:hAnsi="Arial"/>
          <w:b/>
          <w:bCs/>
          <w:color w:val="065A82"/>
          <w:sz w:val="28"/>
          <w:szCs w:val="28"/>
        </w:rPr>
        <w:t xml:space="preserve">8.9 CSRF Protection</w:t>
      </w:r>
    </w:p>
    <w:p>
      <w:pPr>
        <w:spacing w:after="140"/>
      </w:pPr>
      <w:r>
        <w:rPr>
          <w:rFonts w:ascii="Arial" w:cs="Arial" w:eastAsia="Arial" w:hAnsi="Arial"/>
          <w:color w:val="1E293B"/>
          <w:sz w:val="22"/>
          <w:szCs w:val="22"/>
        </w:rPr>
        <w:t xml:space="preserve">All state-changing API calls (POST, PUT, DELETE) are protected against CSRF:</w:t>
      </w:r>
    </w:p>
    <w:p>
      <w:pPr>
        <w:pStyle w:val="ListParagraph"/>
        <w:numPr>
          <w:ilvl w:val="0"/>
          <w:numId w:val="2"/>
        </w:numPr>
        <w:spacing w:after="80"/>
      </w:pPr>
      <w:r>
        <w:rPr>
          <w:rFonts w:ascii="Arial" w:cs="Arial" w:eastAsia="Arial" w:hAnsi="Arial"/>
          <w:b w:val="false"/>
          <w:bCs w:val="false"/>
          <w:color w:val="1E293B"/>
          <w:sz w:val="22"/>
          <w:szCs w:val="22"/>
        </w:rPr>
        <w:t xml:space="preserve">Double-Submit Cookie: CSRF token issued in cookie, must be included in request header</w:t>
      </w:r>
    </w:p>
    <w:p>
      <w:pPr>
        <w:pStyle w:val="ListParagraph"/>
        <w:numPr>
          <w:ilvl w:val="0"/>
          <w:numId w:val="2"/>
        </w:numPr>
        <w:spacing w:after="80"/>
      </w:pPr>
      <w:r>
        <w:rPr>
          <w:rFonts w:ascii="Arial" w:cs="Arial" w:eastAsia="Arial" w:hAnsi="Arial"/>
          <w:b w:val="false"/>
          <w:bCs w:val="false"/>
          <w:color w:val="1E293B"/>
          <w:sz w:val="22"/>
          <w:szCs w:val="22"/>
        </w:rPr>
        <w:t xml:space="preserve">SameSite Cookie: cookies set with SameSite=Strict</w:t>
      </w:r>
    </w:p>
    <w:p>
      <w:pPr>
        <w:spacing w:after="100"/>
      </w:pPr>
    </w:p>
    <w:p>
      <w:pPr>
        <w:pStyle w:val="Heading2"/>
        <w:spacing w:after="120" w:before="280"/>
      </w:pPr>
      <w:r>
        <w:rPr>
          <w:rFonts w:ascii="Arial" w:cs="Arial" w:eastAsia="Arial" w:hAnsi="Arial"/>
          <w:b/>
          <w:bCs/>
          <w:color w:val="065A82"/>
          <w:sz w:val="28"/>
          <w:szCs w:val="28"/>
        </w:rPr>
        <w:t xml:space="preserve">8.10 Network Security</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800"/>
      </w:tblGrid>
      <w:tr>
        <w:tc>
          <w:tcPr>
            <w:tcBorders>
              <w:top w:val="single" w:color="00A896" w:sz="4"/>
              <w:left w:val="single" w:color="00A896" w:sz="4"/>
              <w:bottom w:val="single" w:color="D1E8F0" w:sz="1"/>
              <w:right w:val="single" w:color="D1E8F0" w:sz="1"/>
            </w:tcBorders>
            <w:shd w:fill="EEF9F8" w:val="clear"/>
            <w:tcMar>
              <w:top w:type="dxa" w:w="120"/>
              <w:left w:type="dxa" w:w="180"/>
              <w:bottom w:type="dxa" w:w="120"/>
              <w:right w:type="dxa" w:w="120"/>
            </w:tcMar>
          </w:tcPr>
          <w:p>
            <w:pPr>
              <w:spacing w:after="80"/>
            </w:pPr>
            <w:r>
              <w:rPr>
                <w:rFonts w:ascii="Arial" w:cs="Arial" w:eastAsia="Arial" w:hAnsi="Arial"/>
                <w:b/>
                <w:bCs/>
                <w:color w:val="065A82"/>
                <w:sz w:val="22"/>
                <w:szCs w:val="22"/>
              </w:rPr>
              <w:t xml:space="preserve">VPC Architecture</w:t>
            </w:r>
          </w:p>
          <w:p>
            <w:pPr>
              <w:spacing w:after="60"/>
            </w:pPr>
            <w:r>
              <w:rPr>
                <w:rFonts w:ascii="Arial" w:cs="Arial" w:eastAsia="Arial" w:hAnsi="Arial"/>
                <w:color w:val="1E293B"/>
                <w:sz w:val="20"/>
                <w:szCs w:val="20"/>
              </w:rPr>
              <w:t xml:space="preserve">• Private Subnets: all API services, database, cache in private subnets with no direct internet access</w:t>
            </w:r>
          </w:p>
          <w:p>
            <w:pPr>
              <w:spacing w:after="60"/>
            </w:pPr>
            <w:r>
              <w:rPr>
                <w:rFonts w:ascii="Arial" w:cs="Arial" w:eastAsia="Arial" w:hAnsi="Arial"/>
                <w:color w:val="1E293B"/>
                <w:sz w:val="20"/>
                <w:szCs w:val="20"/>
              </w:rPr>
              <w:t xml:space="preserve">• NAT Gateway: outbound internet traffic via NAT Gateway (all outbound IPs whitelisted at 3rd parties)</w:t>
            </w:r>
          </w:p>
          <w:p>
            <w:pPr>
              <w:spacing w:after="60"/>
            </w:pPr>
            <w:r>
              <w:rPr>
                <w:rFonts w:ascii="Arial" w:cs="Arial" w:eastAsia="Arial" w:hAnsi="Arial"/>
                <w:color w:val="1E293B"/>
                <w:sz w:val="20"/>
                <w:szCs w:val="20"/>
              </w:rPr>
              <w:t xml:space="preserve">• Security Groups: restrictive ingress rules, outbound to specific services only</w:t>
            </w:r>
          </w:p>
          <w:p>
            <w:pPr>
              <w:spacing w:after="60"/>
            </w:pPr>
            <w:r>
              <w:rPr>
                <w:rFonts w:ascii="Arial" w:cs="Arial" w:eastAsia="Arial" w:hAnsi="Arial"/>
                <w:color w:val="1E293B"/>
                <w:sz w:val="20"/>
                <w:szCs w:val="20"/>
              </w:rPr>
              <w:t xml:space="preserve">• Bastion Host: SSH access via bastion host (single point of audit)</w:t>
            </w:r>
          </w:p>
        </w:tc>
      </w:tr>
    </w:tbl>
    <w:p>
      <w:pPr>
        <w:spacing w:after="100"/>
      </w:pPr>
    </w:p>
    <w:p>
      <w:pPr>
        <w:pStyle w:val="Heading1"/>
        <w:pageBreakBefore/>
      </w:pPr>
      <w:r>
        <w:rPr>
          <w:rFonts w:ascii="Arial" w:cs="Arial" w:eastAsia="Arial" w:hAnsi="Arial"/>
          <w:b/>
          <w:bCs/>
          <w:color w:val="0D2B3E"/>
          <w:sz w:val="36"/>
          <w:szCs w:val="36"/>
        </w:rPr>
        <w:t xml:space="preserve">9. Observability Stack</w:t>
      </w:r>
    </w:p>
    <w:p>
      <w:pPr>
        <w:pStyle w:val="Heading2"/>
        <w:spacing w:after="120" w:before="280"/>
      </w:pPr>
      <w:r>
        <w:rPr>
          <w:rFonts w:ascii="Arial" w:cs="Arial" w:eastAsia="Arial" w:hAnsi="Arial"/>
          <w:b/>
          <w:bCs/>
          <w:color w:val="065A82"/>
          <w:sz w:val="28"/>
          <w:szCs w:val="28"/>
        </w:rPr>
        <w:t xml:space="preserve">9.1 Metrics</w:t>
      </w:r>
    </w:p>
    <w:p>
      <w:pPr>
        <w:spacing w:after="140"/>
      </w:pPr>
      <w:r>
        <w:rPr>
          <w:rFonts w:ascii="Arial" w:cs="Arial" w:eastAsia="Arial" w:hAnsi="Arial"/>
          <w:color w:val="1E293B"/>
          <w:sz w:val="22"/>
          <w:szCs w:val="22"/>
        </w:rPr>
        <w:t xml:space="preserve">Custom metrics are published to CloudWatch and visualized in Datadog:</w:t>
      </w:r>
    </w:p>
    <w:p>
      <w:pPr>
        <w:pStyle w:val="ListParagraph"/>
        <w:numPr>
          <w:ilvl w:val="0"/>
          <w:numId w:val="2"/>
        </w:numPr>
        <w:spacing w:after="80"/>
      </w:pPr>
      <w:r>
        <w:rPr>
          <w:rFonts w:ascii="Arial" w:cs="Arial" w:eastAsia="Arial" w:hAnsi="Arial"/>
          <w:b w:val="false"/>
          <w:bCs w:val="false"/>
          <w:color w:val="1E293B"/>
          <w:sz w:val="22"/>
          <w:szCs w:val="22"/>
        </w:rPr>
        <w:t xml:space="preserve">API Metrics: response times, error rates, request volume by endpoint</w:t>
      </w:r>
    </w:p>
    <w:p>
      <w:pPr>
        <w:pStyle w:val="ListParagraph"/>
        <w:numPr>
          <w:ilvl w:val="0"/>
          <w:numId w:val="2"/>
        </w:numPr>
        <w:spacing w:after="80"/>
      </w:pPr>
      <w:r>
        <w:rPr>
          <w:rFonts w:ascii="Arial" w:cs="Arial" w:eastAsia="Arial" w:hAnsi="Arial"/>
          <w:b w:val="false"/>
          <w:bCs w:val="false"/>
          <w:color w:val="1E293B"/>
          <w:sz w:val="22"/>
          <w:szCs w:val="22"/>
        </w:rPr>
        <w:t xml:space="preserve">Database Metrics: connections, query time, slow queries, replication lag</w:t>
      </w:r>
    </w:p>
    <w:p>
      <w:pPr>
        <w:pStyle w:val="ListParagraph"/>
        <w:numPr>
          <w:ilvl w:val="0"/>
          <w:numId w:val="2"/>
        </w:numPr>
        <w:spacing w:after="80"/>
      </w:pPr>
      <w:r>
        <w:rPr>
          <w:rFonts w:ascii="Arial" w:cs="Arial" w:eastAsia="Arial" w:hAnsi="Arial"/>
          <w:b w:val="false"/>
          <w:bCs w:val="false"/>
          <w:color w:val="1E293B"/>
          <w:sz w:val="22"/>
          <w:szCs w:val="22"/>
        </w:rPr>
        <w:t xml:space="preserve">Queue Metrics: queue depth, worker count, job latency, error rate</w:t>
      </w:r>
    </w:p>
    <w:p>
      <w:pPr>
        <w:pStyle w:val="ListParagraph"/>
        <w:numPr>
          <w:ilvl w:val="0"/>
          <w:numId w:val="2"/>
        </w:numPr>
        <w:spacing w:after="80"/>
      </w:pPr>
      <w:r>
        <w:rPr>
          <w:rFonts w:ascii="Arial" w:cs="Arial" w:eastAsia="Arial" w:hAnsi="Arial"/>
          <w:b w:val="false"/>
          <w:bCs w:val="false"/>
          <w:color w:val="1E293B"/>
          <w:sz w:val="22"/>
          <w:szCs w:val="22"/>
        </w:rPr>
        <w:t xml:space="preserve">Business Metrics: campaigns created, emails sent, social posts scheduled, AI generations</w:t>
      </w:r>
    </w:p>
    <w:p>
      <w:pPr>
        <w:spacing w:after="100"/>
      </w:pPr>
    </w:p>
    <w:p>
      <w:pPr>
        <w:pStyle w:val="Heading2"/>
        <w:spacing w:after="120" w:before="280"/>
      </w:pPr>
      <w:r>
        <w:rPr>
          <w:rFonts w:ascii="Arial" w:cs="Arial" w:eastAsia="Arial" w:hAnsi="Arial"/>
          <w:b/>
          <w:bCs/>
          <w:color w:val="065A82"/>
          <w:sz w:val="28"/>
          <w:szCs w:val="28"/>
        </w:rPr>
        <w:t xml:space="preserve">9.2 Distributed Tracing</w:t>
      </w:r>
    </w:p>
    <w:p>
      <w:pPr>
        <w:spacing w:after="140"/>
      </w:pPr>
      <w:r>
        <w:rPr>
          <w:rFonts w:ascii="Arial" w:cs="Arial" w:eastAsia="Arial" w:hAnsi="Arial"/>
          <w:color w:val="1E293B"/>
          <w:sz w:val="22"/>
          <w:szCs w:val="22"/>
        </w:rPr>
        <w:t xml:space="preserve">AWS X-Ray traces all requests across all microservices:</w:t>
      </w:r>
    </w:p>
    <w:p>
      <w:pPr>
        <w:pStyle w:val="ListParagraph"/>
        <w:numPr>
          <w:ilvl w:val="0"/>
          <w:numId w:val="2"/>
        </w:numPr>
        <w:spacing w:after="80"/>
      </w:pPr>
      <w:r>
        <w:rPr>
          <w:rFonts w:ascii="Arial" w:cs="Arial" w:eastAsia="Arial" w:hAnsi="Arial"/>
          <w:b w:val="false"/>
          <w:bCs w:val="false"/>
          <w:color w:val="1E293B"/>
          <w:sz w:val="22"/>
          <w:szCs w:val="22"/>
        </w:rPr>
        <w:t xml:space="preserve">Trace Sampling: 100% sampling for errors, 10% sampling for success (to limit costs)</w:t>
      </w:r>
    </w:p>
    <w:p>
      <w:pPr>
        <w:pStyle w:val="ListParagraph"/>
        <w:numPr>
          <w:ilvl w:val="0"/>
          <w:numId w:val="2"/>
        </w:numPr>
        <w:spacing w:after="80"/>
      </w:pPr>
      <w:r>
        <w:rPr>
          <w:rFonts w:ascii="Arial" w:cs="Arial" w:eastAsia="Arial" w:hAnsi="Arial"/>
          <w:b w:val="false"/>
          <w:bCs w:val="false"/>
          <w:color w:val="1E293B"/>
          <w:sz w:val="22"/>
          <w:szCs w:val="22"/>
        </w:rPr>
        <w:t xml:space="preserve">Propagation: trace ID passed through HTTP headers, logs, and queue messages</w:t>
      </w:r>
    </w:p>
    <w:p>
      <w:pPr>
        <w:pStyle w:val="ListParagraph"/>
        <w:numPr>
          <w:ilvl w:val="0"/>
          <w:numId w:val="2"/>
        </w:numPr>
        <w:spacing w:after="80"/>
      </w:pPr>
      <w:r>
        <w:rPr>
          <w:rFonts w:ascii="Arial" w:cs="Arial" w:eastAsia="Arial" w:hAnsi="Arial"/>
          <w:b w:val="false"/>
          <w:bCs w:val="false"/>
          <w:color w:val="1E293B"/>
          <w:sz w:val="22"/>
          <w:szCs w:val="22"/>
        </w:rPr>
        <w:t xml:space="preserve">Service Map: automatically generated showing dependencies between services</w:t>
      </w:r>
    </w:p>
    <w:p>
      <w:pPr>
        <w:spacing w:after="100"/>
      </w:pPr>
    </w:p>
    <w:p>
      <w:pPr>
        <w:pStyle w:val="Heading2"/>
        <w:spacing w:after="120" w:before="280"/>
      </w:pPr>
      <w:r>
        <w:rPr>
          <w:rFonts w:ascii="Arial" w:cs="Arial" w:eastAsia="Arial" w:hAnsi="Arial"/>
          <w:b/>
          <w:bCs/>
          <w:color w:val="065A82"/>
          <w:sz w:val="28"/>
          <w:szCs w:val="28"/>
        </w:rPr>
        <w:t xml:space="preserve">9.3 Logging</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800"/>
      </w:tblGrid>
      <w:tr>
        <w:tc>
          <w:tcPr>
            <w:tcBorders>
              <w:top w:val="single" w:color="00A896" w:sz="4"/>
              <w:left w:val="single" w:color="00A896" w:sz="4"/>
              <w:bottom w:val="single" w:color="D1E8F0" w:sz="1"/>
              <w:right w:val="single" w:color="D1E8F0" w:sz="1"/>
            </w:tcBorders>
            <w:shd w:fill="EEF9F8" w:val="clear"/>
            <w:tcMar>
              <w:top w:type="dxa" w:w="120"/>
              <w:left w:type="dxa" w:w="180"/>
              <w:bottom w:type="dxa" w:w="120"/>
              <w:right w:type="dxa" w:w="120"/>
            </w:tcMar>
          </w:tcPr>
          <w:p>
            <w:pPr>
              <w:spacing w:after="80"/>
            </w:pPr>
            <w:r>
              <w:rPr>
                <w:rFonts w:ascii="Arial" w:cs="Arial" w:eastAsia="Arial" w:hAnsi="Arial"/>
                <w:b/>
                <w:bCs/>
                <w:color w:val="065A82"/>
                <w:sz w:val="22"/>
                <w:szCs w:val="22"/>
              </w:rPr>
              <w:t xml:space="preserve">Logging Strategy</w:t>
            </w:r>
          </w:p>
          <w:p>
            <w:pPr>
              <w:spacing w:after="60"/>
            </w:pPr>
            <w:r>
              <w:rPr>
                <w:rFonts w:ascii="Arial" w:cs="Arial" w:eastAsia="Arial" w:hAnsi="Arial"/>
                <w:color w:val="1E293B"/>
                <w:sz w:val="20"/>
                <w:szCs w:val="20"/>
              </w:rPr>
              <w:t xml:space="preserve">• Application Logs: all logs sent to CloudWatch Logs Insights (real-time search)</w:t>
            </w:r>
          </w:p>
          <w:p>
            <w:pPr>
              <w:spacing w:after="60"/>
            </w:pPr>
            <w:r>
              <w:rPr>
                <w:rFonts w:ascii="Arial" w:cs="Arial" w:eastAsia="Arial" w:hAnsi="Arial"/>
                <w:color w:val="1E293B"/>
                <w:sz w:val="20"/>
                <w:szCs w:val="20"/>
              </w:rPr>
              <w:t xml:space="preserve">• Log Aggregation: Datadog Log Management for long-term retention and analysis</w:t>
            </w:r>
          </w:p>
          <w:p>
            <w:pPr>
              <w:spacing w:after="60"/>
            </w:pPr>
            <w:r>
              <w:rPr>
                <w:rFonts w:ascii="Arial" w:cs="Arial" w:eastAsia="Arial" w:hAnsi="Arial"/>
                <w:color w:val="1E293B"/>
                <w:sz w:val="20"/>
                <w:szCs w:val="20"/>
              </w:rPr>
              <w:t xml:space="preserve">• Structured Logs: all logs in JSON format with request ID, tenant ID, user ID</w:t>
            </w:r>
          </w:p>
          <w:p>
            <w:pPr>
              <w:spacing w:after="60"/>
            </w:pPr>
            <w:r>
              <w:rPr>
                <w:rFonts w:ascii="Arial" w:cs="Arial" w:eastAsia="Arial" w:hAnsi="Arial"/>
                <w:color w:val="1E293B"/>
                <w:sz w:val="20"/>
                <w:szCs w:val="20"/>
              </w:rPr>
              <w:t xml:space="preserve">• Log Retention: 30 days in CloudWatch, 1 year in Datadog</w:t>
            </w:r>
          </w:p>
        </w:tc>
      </w:tr>
    </w:tbl>
    <w:p>
      <w:pPr>
        <w:spacing w:after="100"/>
      </w:pPr>
    </w:p>
    <w:p>
      <w:pPr>
        <w:pStyle w:val="Heading2"/>
        <w:spacing w:after="120" w:before="280"/>
      </w:pPr>
      <w:r>
        <w:rPr>
          <w:rFonts w:ascii="Arial" w:cs="Arial" w:eastAsia="Arial" w:hAnsi="Arial"/>
          <w:b/>
          <w:bCs/>
          <w:color w:val="065A82"/>
          <w:sz w:val="28"/>
          <w:szCs w:val="28"/>
        </w:rPr>
        <w:t xml:space="preserve">9.4 Error Tracking</w:t>
      </w:r>
    </w:p>
    <w:p>
      <w:pPr>
        <w:spacing w:after="140"/>
      </w:pPr>
      <w:r>
        <w:rPr>
          <w:rFonts w:ascii="Arial" w:cs="Arial" w:eastAsia="Arial" w:hAnsi="Arial"/>
          <w:color w:val="1E293B"/>
          <w:sz w:val="22"/>
          <w:szCs w:val="22"/>
        </w:rPr>
        <w:t xml:space="preserve">Sentry tracks all frontend and backend errors with full context:</w:t>
      </w:r>
    </w:p>
    <w:p>
      <w:pPr>
        <w:pStyle w:val="ListParagraph"/>
        <w:numPr>
          <w:ilvl w:val="0"/>
          <w:numId w:val="2"/>
        </w:numPr>
        <w:spacing w:after="80"/>
      </w:pPr>
      <w:r>
        <w:rPr>
          <w:rFonts w:ascii="Arial" w:cs="Arial" w:eastAsia="Arial" w:hAnsi="Arial"/>
          <w:b w:val="false"/>
          <w:bCs w:val="false"/>
          <w:color w:val="1E293B"/>
          <w:sz w:val="22"/>
          <w:szCs w:val="22"/>
        </w:rPr>
        <w:t xml:space="preserve">Error Grouping: similar errors grouped automatically to surface systemic issues</w:t>
      </w:r>
    </w:p>
    <w:p>
      <w:pPr>
        <w:pStyle w:val="ListParagraph"/>
        <w:numPr>
          <w:ilvl w:val="0"/>
          <w:numId w:val="2"/>
        </w:numPr>
        <w:spacing w:after="80"/>
      </w:pPr>
      <w:r>
        <w:rPr>
          <w:rFonts w:ascii="Arial" w:cs="Arial" w:eastAsia="Arial" w:hAnsi="Arial"/>
          <w:b w:val="false"/>
          <w:bCs w:val="false"/>
          <w:color w:val="1E293B"/>
          <w:sz w:val="22"/>
          <w:szCs w:val="22"/>
        </w:rPr>
        <w:t xml:space="preserve">Release Tracking: errors tagged with Git commit hash for root cause analysis</w:t>
      </w:r>
    </w:p>
    <w:p>
      <w:pPr>
        <w:pStyle w:val="ListParagraph"/>
        <w:numPr>
          <w:ilvl w:val="0"/>
          <w:numId w:val="2"/>
        </w:numPr>
        <w:spacing w:after="80"/>
      </w:pPr>
      <w:r>
        <w:rPr>
          <w:rFonts w:ascii="Arial" w:cs="Arial" w:eastAsia="Arial" w:hAnsi="Arial"/>
          <w:b w:val="false"/>
          <w:bCs w:val="false"/>
          <w:color w:val="1E293B"/>
          <w:sz w:val="22"/>
          <w:szCs w:val="22"/>
        </w:rPr>
        <w:t xml:space="preserve">Alerting: critical errors trigger PagerDuty alert immediately</w:t>
      </w:r>
    </w:p>
    <w:p>
      <w:pPr>
        <w:spacing w:after="100"/>
      </w:pPr>
    </w:p>
    <w:p>
      <w:pPr>
        <w:pStyle w:val="Heading2"/>
        <w:spacing w:after="120" w:before="280"/>
      </w:pPr>
      <w:r>
        <w:rPr>
          <w:rFonts w:ascii="Arial" w:cs="Arial" w:eastAsia="Arial" w:hAnsi="Arial"/>
          <w:b/>
          <w:bCs/>
          <w:color w:val="065A82"/>
          <w:sz w:val="28"/>
          <w:szCs w:val="28"/>
        </w:rPr>
        <w:t xml:space="preserve">9.5 Uptime Monitoring</w:t>
      </w:r>
    </w:p>
    <w:p>
      <w:pPr>
        <w:spacing w:after="140"/>
      </w:pPr>
      <w:r>
        <w:rPr>
          <w:rFonts w:ascii="Arial" w:cs="Arial" w:eastAsia="Arial" w:hAnsi="Arial"/>
          <w:color w:val="1E293B"/>
          <w:sz w:val="22"/>
          <w:szCs w:val="22"/>
        </w:rPr>
        <w:t xml:space="preserve">External uptime monitoring is performed by Better Uptime and Pingdom:</w:t>
      </w:r>
    </w:p>
    <w:p>
      <w:pPr>
        <w:pStyle w:val="ListParagraph"/>
        <w:numPr>
          <w:ilvl w:val="0"/>
          <w:numId w:val="2"/>
        </w:numPr>
        <w:spacing w:after="80"/>
      </w:pPr>
      <w:r>
        <w:rPr>
          <w:rFonts w:ascii="Arial" w:cs="Arial" w:eastAsia="Arial" w:hAnsi="Arial"/>
          <w:b w:val="false"/>
          <w:bCs w:val="false"/>
          <w:color w:val="1E293B"/>
          <w:sz w:val="22"/>
          <w:szCs w:val="22"/>
        </w:rPr>
        <w:t xml:space="preserve">Checks: every 30 seconds from 30+ global locations</w:t>
      </w:r>
    </w:p>
    <w:p>
      <w:pPr>
        <w:pStyle w:val="ListParagraph"/>
        <w:numPr>
          <w:ilvl w:val="0"/>
          <w:numId w:val="2"/>
        </w:numPr>
        <w:spacing w:after="80"/>
      </w:pPr>
      <w:r>
        <w:rPr>
          <w:rFonts w:ascii="Arial" w:cs="Arial" w:eastAsia="Arial" w:hAnsi="Arial"/>
          <w:b w:val="false"/>
          <w:bCs w:val="false"/>
          <w:color w:val="1E293B"/>
          <w:sz w:val="22"/>
          <w:szCs w:val="22"/>
        </w:rPr>
        <w:t xml:space="preserve">Endpoints: API health check, web app home page, dashboard load test</w:t>
      </w:r>
    </w:p>
    <w:p>
      <w:pPr>
        <w:pStyle w:val="ListParagraph"/>
        <w:numPr>
          <w:ilvl w:val="0"/>
          <w:numId w:val="2"/>
        </w:numPr>
        <w:spacing w:after="80"/>
      </w:pPr>
      <w:r>
        <w:rPr>
          <w:rFonts w:ascii="Arial" w:cs="Arial" w:eastAsia="Arial" w:hAnsi="Arial"/>
          <w:b w:val="false"/>
          <w:bCs w:val="false"/>
          <w:color w:val="1E293B"/>
          <w:sz w:val="22"/>
          <w:szCs w:val="22"/>
        </w:rPr>
        <w:t xml:space="preserve">Alerting: status page updated automatically, SMS alerts on major outage</w:t>
      </w:r>
    </w:p>
    <w:p>
      <w:pPr>
        <w:spacing w:after="100"/>
      </w:pPr>
    </w:p>
    <w:p>
      <w:pPr>
        <w:pStyle w:val="Heading2"/>
        <w:spacing w:after="120" w:before="280"/>
      </w:pPr>
      <w:r>
        <w:rPr>
          <w:rFonts w:ascii="Arial" w:cs="Arial" w:eastAsia="Arial" w:hAnsi="Arial"/>
          <w:b/>
          <w:bCs/>
          <w:color w:val="065A82"/>
          <w:sz w:val="28"/>
          <w:szCs w:val="28"/>
        </w:rPr>
        <w:t xml:space="preserve">9.6 On-Call Rotation</w:t>
      </w:r>
    </w:p>
    <w:p>
      <w:pPr>
        <w:spacing w:after="140"/>
      </w:pPr>
      <w:r>
        <w:rPr>
          <w:rFonts w:ascii="Arial" w:cs="Arial" w:eastAsia="Arial" w:hAnsi="Arial"/>
          <w:color w:val="1E293B"/>
          <w:sz w:val="22"/>
          <w:szCs w:val="22"/>
        </w:rPr>
        <w:t xml:space="preserve">PagerDuty manages on-call rotation and escalation:</w:t>
      </w:r>
    </w:p>
    <w:p>
      <w:pPr>
        <w:pStyle w:val="ListParagraph"/>
        <w:numPr>
          <w:ilvl w:val="0"/>
          <w:numId w:val="2"/>
        </w:numPr>
        <w:spacing w:after="80"/>
      </w:pPr>
      <w:r>
        <w:rPr>
          <w:rFonts w:ascii="Arial" w:cs="Arial" w:eastAsia="Arial" w:hAnsi="Arial"/>
          <w:b w:val="false"/>
          <w:bCs w:val="false"/>
          <w:color w:val="1E293B"/>
          <w:sz w:val="22"/>
          <w:szCs w:val="22"/>
        </w:rPr>
        <w:t xml:space="preserve">Team: rotating engineers on-call 24/7</w:t>
      </w:r>
    </w:p>
    <w:p>
      <w:pPr>
        <w:pStyle w:val="ListParagraph"/>
        <w:numPr>
          <w:ilvl w:val="0"/>
          <w:numId w:val="2"/>
        </w:numPr>
        <w:spacing w:after="80"/>
      </w:pPr>
      <w:r>
        <w:rPr>
          <w:rFonts w:ascii="Arial" w:cs="Arial" w:eastAsia="Arial" w:hAnsi="Arial"/>
          <w:b w:val="false"/>
          <w:bCs w:val="false"/>
          <w:color w:val="1E293B"/>
          <w:sz w:val="22"/>
          <w:szCs w:val="22"/>
        </w:rPr>
        <w:t xml:space="preserve">Incidents: critical alerts page engineer immediately</w:t>
      </w:r>
    </w:p>
    <w:p>
      <w:pPr>
        <w:pStyle w:val="ListParagraph"/>
        <w:numPr>
          <w:ilvl w:val="0"/>
          <w:numId w:val="2"/>
        </w:numPr>
        <w:spacing w:after="80"/>
      </w:pPr>
      <w:r>
        <w:rPr>
          <w:rFonts w:ascii="Arial" w:cs="Arial" w:eastAsia="Arial" w:hAnsi="Arial"/>
          <w:b w:val="false"/>
          <w:bCs w:val="false"/>
          <w:color w:val="1E293B"/>
          <w:sz w:val="22"/>
          <w:szCs w:val="22"/>
        </w:rPr>
        <w:t xml:space="preserve">Escalation: if no response in 5 minutes, escalates to team lead</w:t>
      </w:r>
    </w:p>
    <w:p>
      <w:pPr>
        <w:spacing w:after="100"/>
      </w:pPr>
    </w:p>
    <w:p>
      <w:pPr>
        <w:pStyle w:val="Heading2"/>
        <w:spacing w:after="120" w:before="280"/>
      </w:pPr>
      <w:r>
        <w:rPr>
          <w:rFonts w:ascii="Arial" w:cs="Arial" w:eastAsia="Arial" w:hAnsi="Arial"/>
          <w:b/>
          <w:bCs/>
          <w:color w:val="065A82"/>
          <w:sz w:val="28"/>
          <w:szCs w:val="28"/>
        </w:rPr>
        <w:t xml:space="preserve">9.7 Business Metrics Dashboard</w:t>
      </w:r>
    </w:p>
    <w:p>
      <w:pPr>
        <w:spacing w:after="140"/>
      </w:pPr>
      <w:r>
        <w:rPr>
          <w:rFonts w:ascii="Arial" w:cs="Arial" w:eastAsia="Arial" w:hAnsi="Arial"/>
          <w:color w:val="1E293B"/>
          <w:sz w:val="22"/>
          <w:szCs w:val="22"/>
        </w:rPr>
        <w:t xml:space="preserve">An internal Dolphi instance (our dogfood account) displays real-time business metrics: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800"/>
      </w:tblGrid>
      <w:tr>
        <w:tc>
          <w:tcPr>
            <w:tcBorders>
              <w:top w:val="single" w:color="00A896" w:sz="4"/>
              <w:left w:val="single" w:color="00A896" w:sz="4"/>
              <w:bottom w:val="single" w:color="D1E8F0" w:sz="1"/>
              <w:right w:val="single" w:color="D1E8F0" w:sz="1"/>
            </w:tcBorders>
            <w:shd w:fill="EEF9F8" w:val="clear"/>
            <w:tcMar>
              <w:top w:type="dxa" w:w="120"/>
              <w:left w:type="dxa" w:w="180"/>
              <w:bottom w:type="dxa" w:w="120"/>
              <w:right w:type="dxa" w:w="120"/>
            </w:tcMar>
          </w:tcPr>
          <w:p>
            <w:pPr>
              <w:spacing w:after="80"/>
            </w:pPr>
            <w:r>
              <w:rPr>
                <w:rFonts w:ascii="Arial" w:cs="Arial" w:eastAsia="Arial" w:hAnsi="Arial"/>
                <w:b/>
                <w:bCs/>
                <w:color w:val="065A82"/>
                <w:sz w:val="22"/>
                <w:szCs w:val="22"/>
              </w:rPr>
              <w:t xml:space="preserve">Internal Dashboard Metrics</w:t>
            </w:r>
          </w:p>
          <w:p>
            <w:pPr>
              <w:spacing w:after="60"/>
            </w:pPr>
            <w:r>
              <w:rPr>
                <w:rFonts w:ascii="Arial" w:cs="Arial" w:eastAsia="Arial" w:hAnsi="Arial"/>
                <w:color w:val="1E293B"/>
                <w:sz w:val="20"/>
                <w:szCs w:val="20"/>
              </w:rPr>
              <w:t xml:space="preserve">• MRR / ARR: monthly and annual recurring revenue</w:t>
            </w:r>
          </w:p>
          <w:p>
            <w:pPr>
              <w:spacing w:after="60"/>
            </w:pPr>
            <w:r>
              <w:rPr>
                <w:rFonts w:ascii="Arial" w:cs="Arial" w:eastAsia="Arial" w:hAnsi="Arial"/>
                <w:color w:val="1E293B"/>
                <w:sz w:val="20"/>
                <w:szCs w:val="20"/>
              </w:rPr>
              <w:t xml:space="preserve">• Tenant Count: total active tenants by plan tier</w:t>
            </w:r>
          </w:p>
          <w:p>
            <w:pPr>
              <w:spacing w:after="60"/>
            </w:pPr>
            <w:r>
              <w:rPr>
                <w:rFonts w:ascii="Arial" w:cs="Arial" w:eastAsia="Arial" w:hAnsi="Arial"/>
                <w:color w:val="1E293B"/>
                <w:sz w:val="20"/>
                <w:szCs w:val="20"/>
              </w:rPr>
              <w:t xml:space="preserve">• Churn Rate: monthly customer churn percentage</w:t>
            </w:r>
          </w:p>
          <w:p>
            <w:pPr>
              <w:spacing w:after="60"/>
            </w:pPr>
            <w:r>
              <w:rPr>
                <w:rFonts w:ascii="Arial" w:cs="Arial" w:eastAsia="Arial" w:hAnsi="Arial"/>
                <w:color w:val="1E293B"/>
                <w:sz w:val="20"/>
                <w:szCs w:val="20"/>
              </w:rPr>
              <w:t xml:space="preserve">• AI Credits Used: total API calls to OpenAI / Claude API</w:t>
            </w:r>
          </w:p>
          <w:p>
            <w:pPr>
              <w:spacing w:after="60"/>
            </w:pPr>
            <w:r>
              <w:rPr>
                <w:rFonts w:ascii="Arial" w:cs="Arial" w:eastAsia="Arial" w:hAnsi="Arial"/>
                <w:color w:val="1E293B"/>
                <w:sz w:val="20"/>
                <w:szCs w:val="20"/>
              </w:rPr>
              <w:t xml:space="preserve">• Email Volume: emails sent in last 24 hours</w:t>
            </w:r>
          </w:p>
          <w:p>
            <w:pPr>
              <w:spacing w:after="60"/>
            </w:pPr>
            <w:r>
              <w:rPr>
                <w:rFonts w:ascii="Arial" w:cs="Arial" w:eastAsia="Arial" w:hAnsi="Arial"/>
                <w:color w:val="1E293B"/>
                <w:sz w:val="20"/>
                <w:szCs w:val="20"/>
              </w:rPr>
              <w:t xml:space="preserve">• Customer Health Scores: automated flag for declining activity (churn risk)</w:t>
            </w:r>
          </w:p>
        </w:tc>
      </w:tr>
    </w:tbl>
    <w:p>
      <w:pPr>
        <w:spacing w:after="100"/>
      </w:pPr>
    </w:p>
    <w:p>
      <w:pPr>
        <w:pStyle w:val="Heading2"/>
        <w:spacing w:after="120" w:before="280"/>
      </w:pPr>
      <w:r>
        <w:rPr>
          <w:rFonts w:ascii="Arial" w:cs="Arial" w:eastAsia="Arial" w:hAnsi="Arial"/>
          <w:b/>
          <w:bCs/>
          <w:color w:val="065A82"/>
          <w:sz w:val="28"/>
          <w:szCs w:val="28"/>
        </w:rPr>
        <w:t xml:space="preserve">9.8 Tenant Health Scoring</w:t>
      </w:r>
    </w:p>
    <w:p>
      <w:pPr>
        <w:spacing w:after="140"/>
      </w:pPr>
      <w:r>
        <w:rPr>
          <w:rFonts w:ascii="Arial" w:cs="Arial" w:eastAsia="Arial" w:hAnsi="Arial"/>
          <w:color w:val="1E293B"/>
          <w:sz w:val="22"/>
          <w:szCs w:val="22"/>
        </w:rPr>
        <w:t xml:space="preserve">An automated system flags tenants showing declining activity patterns:</w:t>
      </w:r>
    </w:p>
    <w:p>
      <w:pPr>
        <w:pStyle w:val="ListParagraph"/>
        <w:numPr>
          <w:ilvl w:val="0"/>
          <w:numId w:val="2"/>
        </w:numPr>
        <w:spacing w:after="80"/>
      </w:pPr>
      <w:r>
        <w:rPr>
          <w:rFonts w:ascii="Arial" w:cs="Arial" w:eastAsia="Arial" w:hAnsi="Arial"/>
          <w:b w:val="false"/>
          <w:bCs w:val="false"/>
          <w:color w:val="1E293B"/>
          <w:sz w:val="22"/>
          <w:szCs w:val="22"/>
        </w:rPr>
        <w:t xml:space="preserve">Metrics: campaign creation frequency, login frequency, email sends, social posts</w:t>
      </w:r>
    </w:p>
    <w:p>
      <w:pPr>
        <w:pStyle w:val="ListParagraph"/>
        <w:numPr>
          <w:ilvl w:val="0"/>
          <w:numId w:val="2"/>
        </w:numPr>
        <w:spacing w:after="80"/>
      </w:pPr>
      <w:r>
        <w:rPr>
          <w:rFonts w:ascii="Arial" w:cs="Arial" w:eastAsia="Arial" w:hAnsi="Arial"/>
          <w:b w:val="false"/>
          <w:bCs w:val="false"/>
          <w:color w:val="1E293B"/>
          <w:sz w:val="22"/>
          <w:szCs w:val="22"/>
        </w:rPr>
        <w:t xml:space="preserve">Scoring: machine learning model predicts churn risk based on usage patterns</w:t>
      </w:r>
    </w:p>
    <w:p>
      <w:pPr>
        <w:pStyle w:val="ListParagraph"/>
        <w:numPr>
          <w:ilvl w:val="0"/>
          <w:numId w:val="2"/>
        </w:numPr>
        <w:spacing w:after="80"/>
      </w:pPr>
      <w:r>
        <w:rPr>
          <w:rFonts w:ascii="Arial" w:cs="Arial" w:eastAsia="Arial" w:hAnsi="Arial"/>
          <w:b w:val="false"/>
          <w:bCs w:val="false"/>
          <w:color w:val="1E293B"/>
          <w:sz w:val="22"/>
          <w:szCs w:val="22"/>
        </w:rPr>
        <w:t xml:space="preserve">Action: if risk &gt;70%, support team proactively reaches out</w:t>
      </w:r>
    </w:p>
    <w:p>
      <w:pPr>
        <w:spacing w:after="100"/>
      </w:pPr>
    </w:p>
    <w:p>
      <w:pPr>
        <w:pStyle w:val="Heading1"/>
        <w:pageBreakBefore/>
      </w:pPr>
      <w:r>
        <w:rPr>
          <w:rFonts w:ascii="Arial" w:cs="Arial" w:eastAsia="Arial" w:hAnsi="Arial"/>
          <w:b/>
          <w:bCs/>
          <w:color w:val="0D2B3E"/>
          <w:sz w:val="36"/>
          <w:szCs w:val="36"/>
        </w:rPr>
        <w:t xml:space="preserve">10. Scaling Milestones &amp; Cost Progression</w:t>
      </w:r>
    </w:p>
    <w:p>
      <w:pPr>
        <w:spacing w:after="140"/>
      </w:pPr>
      <w:r>
        <w:rPr>
          <w:rFonts w:ascii="Arial" w:cs="Arial" w:eastAsia="Arial" w:hAnsi="Arial"/>
          <w:color w:val="1E293B"/>
          <w:sz w:val="22"/>
          <w:szCs w:val="22"/>
        </w:rPr>
        <w:t xml:space="preserve">Dolphi's infrastructure scales progressively as tenant count grows. This table shows key milestones and corresponding infrastructure decisions:</w:t>
      </w:r>
    </w:p>
    <w:p>
      <w:pPr>
        <w:spacing w:after="10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2880"/>
      </w:tblGrid>
      <w:tr>
        <w:trPr>
          <w:tblHeader/>
        </w:trPr>
        <w:tc>
          <w:tcPr>
            <w:tcBorders>
              <w:top w:val="single" w:color="D1E8F0" w:sz="1"/>
              <w:left w:val="single" w:color="D1E8F0" w:sz="1"/>
              <w:bottom w:val="single" w:color="D1E8F0" w:sz="1"/>
              <w:right w:val="single" w:color="D1E8F0" w:sz="1"/>
            </w:tcBorders>
            <w:shd w:fill="065A8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Milestone</w:t>
            </w:r>
          </w:p>
        </w:tc>
        <w:tc>
          <w:tcPr>
            <w:tcBorders>
              <w:top w:val="single" w:color="D1E8F0" w:sz="1"/>
              <w:left w:val="single" w:color="D1E8F0" w:sz="1"/>
              <w:bottom w:val="single" w:color="D1E8F0" w:sz="1"/>
              <w:right w:val="single" w:color="D1E8F0" w:sz="1"/>
            </w:tcBorders>
            <w:shd w:fill="065A8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Tenants</w:t>
            </w:r>
          </w:p>
        </w:tc>
        <w:tc>
          <w:tcPr>
            <w:tcBorders>
              <w:top w:val="single" w:color="D1E8F0" w:sz="1"/>
              <w:left w:val="single" w:color="D1E8F0" w:sz="1"/>
              <w:bottom w:val="single" w:color="D1E8F0" w:sz="1"/>
              <w:right w:val="single" w:color="D1E8F0" w:sz="1"/>
            </w:tcBorders>
            <w:shd w:fill="065A8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Cost</w:t>
            </w:r>
          </w:p>
        </w:tc>
        <w:tc>
          <w:tcPr>
            <w:tcBorders>
              <w:top w:val="single" w:color="D1E8F0" w:sz="1"/>
              <w:left w:val="single" w:color="D1E8F0" w:sz="1"/>
              <w:bottom w:val="single" w:color="D1E8F0" w:sz="1"/>
              <w:right w:val="single" w:color="D1E8F0" w:sz="1"/>
            </w:tcBorders>
            <w:shd w:fill="065A8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Action</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Launch</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0–100</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$800</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Single Aurora instance (minimal capacity), 2 API instances</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Early Traction</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100–500</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$2,200</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Add Aurora read replica, scale API to 4 instances</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Growth</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500–2,000</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$5,400</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Enable RDS Proxy, add Redis cluster, scale workers to 8</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Scale</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2,000–5,000</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$9,800</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Multi-region CDN, queue partitioning, 16 API instances</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At Target</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5,000–10,000</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$12,480</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Full auto-scale (4–20 API instances), 20 workers, SOC 2</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Beyond</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10,000+</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$15,000+</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Shard tenants by region, dedicated support tier</w:t>
            </w:r>
          </w:p>
        </w:tc>
      </w:tr>
    </w:tbl>
    <w:p>
      <w:pPr>
        <w:spacing w:after="100"/>
      </w:pPr>
    </w:p>
    <w:p>
      <w:pPr>
        <w:pStyle w:val="Heading2"/>
        <w:spacing w:after="120" w:before="280"/>
      </w:pPr>
      <w:r>
        <w:rPr>
          <w:rFonts w:ascii="Arial" w:cs="Arial" w:eastAsia="Arial" w:hAnsi="Arial"/>
          <w:b/>
          <w:bCs/>
          <w:color w:val="065A82"/>
          <w:sz w:val="28"/>
          <w:szCs w:val="28"/>
        </w:rPr>
        <w:t xml:space="preserve">10.1 Cost Per Tenant Efficiency</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800"/>
      </w:tblGrid>
      <w:tr>
        <w:tc>
          <w:tcPr>
            <w:tcBorders>
              <w:top w:val="single" w:color="00A896" w:sz="4"/>
              <w:left w:val="single" w:color="00A896" w:sz="4"/>
              <w:bottom w:val="single" w:color="D1E8F0" w:sz="1"/>
              <w:right w:val="single" w:color="D1E8F0" w:sz="1"/>
            </w:tcBorders>
            <w:shd w:fill="EEF9F8" w:val="clear"/>
            <w:tcMar>
              <w:top w:type="dxa" w:w="120"/>
              <w:left w:type="dxa" w:w="180"/>
              <w:bottom w:type="dxa" w:w="120"/>
              <w:right w:type="dxa" w:w="120"/>
            </w:tcMar>
          </w:tcPr>
          <w:p>
            <w:pPr>
              <w:spacing w:after="80"/>
            </w:pPr>
            <w:r>
              <w:rPr>
                <w:rFonts w:ascii="Arial" w:cs="Arial" w:eastAsia="Arial" w:hAnsi="Arial"/>
                <w:b/>
                <w:bCs/>
                <w:color w:val="065A82"/>
                <w:sz w:val="22"/>
                <w:szCs w:val="22"/>
              </w:rPr>
              <w:t xml:space="preserve">Unit Economics at Scale</w:t>
            </w:r>
          </w:p>
          <w:p>
            <w:pPr>
              <w:spacing w:after="60"/>
            </w:pPr>
            <w:r>
              <w:rPr>
                <w:rFonts w:ascii="Arial" w:cs="Arial" w:eastAsia="Arial" w:hAnsi="Arial"/>
                <w:color w:val="1E293B"/>
                <w:sz w:val="20"/>
                <w:szCs w:val="20"/>
              </w:rPr>
              <w:t xml:space="preserve">• At 100 tenants: $800 / 100 = $8/tenant infrastructure</w:t>
            </w:r>
          </w:p>
          <w:p>
            <w:pPr>
              <w:spacing w:after="60"/>
            </w:pPr>
            <w:r>
              <w:rPr>
                <w:rFonts w:ascii="Arial" w:cs="Arial" w:eastAsia="Arial" w:hAnsi="Arial"/>
                <w:color w:val="1E293B"/>
                <w:sz w:val="20"/>
                <w:szCs w:val="20"/>
              </w:rPr>
              <w:t xml:space="preserve">• At 1,000 tenants: $5,400 / 1,000 = $5.40/tenant infrastructure</w:t>
            </w:r>
          </w:p>
          <w:p>
            <w:pPr>
              <w:spacing w:after="60"/>
            </w:pPr>
            <w:r>
              <w:rPr>
                <w:rFonts w:ascii="Arial" w:cs="Arial" w:eastAsia="Arial" w:hAnsi="Arial"/>
                <w:color w:val="1E293B"/>
                <w:sz w:val="20"/>
                <w:szCs w:val="20"/>
              </w:rPr>
              <w:t xml:space="preserve">• At 5,000 tenants: $9,800 / 5,000 = $1.96/tenant infrastructure</w:t>
            </w:r>
          </w:p>
          <w:p>
            <w:pPr>
              <w:spacing w:after="60"/>
            </w:pPr>
            <w:r>
              <w:rPr>
                <w:rFonts w:ascii="Arial" w:cs="Arial" w:eastAsia="Arial" w:hAnsi="Arial"/>
                <w:color w:val="1E293B"/>
                <w:sz w:val="20"/>
                <w:szCs w:val="20"/>
              </w:rPr>
              <w:t xml:space="preserve">• At 10,000 tenants: $12,480 / 10,000 = $1.25/tenant infrastructure</w:t>
            </w:r>
          </w:p>
          <w:p>
            <w:pPr>
              <w:spacing w:after="60"/>
            </w:pPr>
            <w:r>
              <w:rPr>
                <w:rFonts w:ascii="Arial" w:cs="Arial" w:eastAsia="Arial" w:hAnsi="Arial"/>
                <w:color w:val="1E293B"/>
                <w:sz w:val="20"/>
                <w:szCs w:val="20"/>
              </w:rPr>
              <w:t xml:space="preserve">• Insight: infrastructure cost per tenant decreases as utilization increases (economies of scale)</w:t>
            </w:r>
          </w:p>
        </w:tc>
      </w:tr>
    </w:tbl>
    <w:p>
      <w:pPr>
        <w:spacing w:after="100"/>
      </w:pPr>
    </w:p>
    <w:p>
      <w:pPr>
        <w:pStyle w:val="Heading2"/>
        <w:spacing w:after="120" w:before="280"/>
      </w:pPr>
      <w:r>
        <w:rPr>
          <w:rFonts w:ascii="Arial" w:cs="Arial" w:eastAsia="Arial" w:hAnsi="Arial"/>
          <w:b/>
          <w:bCs/>
          <w:color w:val="065A82"/>
          <w:sz w:val="28"/>
          <w:szCs w:val="28"/>
        </w:rPr>
        <w:t xml:space="preserve">10.2 Revenue Impact</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800"/>
      </w:tblGrid>
      <w:tr>
        <w:tc>
          <w:tcPr>
            <w:tcBorders>
              <w:top w:val="single" w:color="00A896" w:sz="4"/>
              <w:left w:val="single" w:color="00A896" w:sz="4"/>
              <w:bottom w:val="single" w:color="D1E8F0" w:sz="1"/>
              <w:right w:val="single" w:color="D1E8F0" w:sz="1"/>
            </w:tcBorders>
            <w:shd w:fill="EEF9F8" w:val="clear"/>
            <w:tcMar>
              <w:top w:type="dxa" w:w="120"/>
              <w:left w:type="dxa" w:w="180"/>
              <w:bottom w:type="dxa" w:w="120"/>
              <w:right w:type="dxa" w:w="120"/>
            </w:tcMar>
          </w:tcPr>
          <w:p>
            <w:pPr>
              <w:spacing w:after="80"/>
            </w:pPr>
            <w:r>
              <w:rPr>
                <w:rFonts w:ascii="Arial" w:cs="Arial" w:eastAsia="Arial" w:hAnsi="Arial"/>
                <w:b/>
                <w:bCs/>
                <w:color w:val="065A82"/>
                <w:sz w:val="22"/>
                <w:szCs w:val="22"/>
              </w:rPr>
              <w:t xml:space="preserve">Revenue per Tenant (at typical mix)</w:t>
            </w:r>
          </w:p>
          <w:p>
            <w:pPr>
              <w:spacing w:after="60"/>
            </w:pPr>
            <w:r>
              <w:rPr>
                <w:rFonts w:ascii="Arial" w:cs="Arial" w:eastAsia="Arial" w:hAnsi="Arial"/>
                <w:color w:val="1E293B"/>
                <w:sz w:val="20"/>
                <w:szCs w:val="20"/>
              </w:rPr>
              <w:t xml:space="preserve">• Starter Plan: $29/month (15% of tenants)</w:t>
            </w:r>
          </w:p>
          <w:p>
            <w:pPr>
              <w:spacing w:after="60"/>
            </w:pPr>
            <w:r>
              <w:rPr>
                <w:rFonts w:ascii="Arial" w:cs="Arial" w:eastAsia="Arial" w:hAnsi="Arial"/>
                <w:color w:val="1E293B"/>
                <w:sz w:val="20"/>
                <w:szCs w:val="20"/>
              </w:rPr>
              <w:t xml:space="preserve">• Pro Plan: $99/month (60% of tenants)</w:t>
            </w:r>
          </w:p>
          <w:p>
            <w:pPr>
              <w:spacing w:after="60"/>
            </w:pPr>
            <w:r>
              <w:rPr>
                <w:rFonts w:ascii="Arial" w:cs="Arial" w:eastAsia="Arial" w:hAnsi="Arial"/>
                <w:color w:val="1E293B"/>
                <w:sz w:val="20"/>
                <w:szCs w:val="20"/>
              </w:rPr>
              <w:t xml:space="preserve">• Business Plan: $299/month (20% of tenants)</w:t>
            </w:r>
          </w:p>
          <w:p>
            <w:pPr>
              <w:spacing w:after="60"/>
            </w:pPr>
            <w:r>
              <w:rPr>
                <w:rFonts w:ascii="Arial" w:cs="Arial" w:eastAsia="Arial" w:hAnsi="Arial"/>
                <w:color w:val="1E293B"/>
                <w:sz w:val="20"/>
                <w:szCs w:val="20"/>
              </w:rPr>
              <w:t xml:space="preserve">• Agency Plan: $999/month (5% of tenants)</w:t>
            </w:r>
          </w:p>
          <w:p>
            <w:pPr>
              <w:spacing w:after="60"/>
            </w:pPr>
            <w:r>
              <w:rPr>
                <w:rFonts w:ascii="Arial" w:cs="Arial" w:eastAsia="Arial" w:hAnsi="Arial"/>
                <w:color w:val="1E293B"/>
                <w:sz w:val="20"/>
                <w:szCs w:val="20"/>
              </w:rPr>
              <w:t xml:space="preserve">• Blended ARPU: ~$149/tenant/month</w:t>
            </w:r>
          </w:p>
          <w:p>
            <w:pPr>
              <w:spacing w:after="60"/>
            </w:pPr>
            <w:r>
              <w:rPr>
                <w:rFonts w:ascii="Arial" w:cs="Arial" w:eastAsia="Arial" w:hAnsi="Arial"/>
                <w:color w:val="1E293B"/>
                <w:sz w:val="20"/>
                <w:szCs w:val="20"/>
              </w:rPr>
              <w:t xml:space="preserve">• Infrastructure as % of revenue: 0.84% (98.7% gross margin)</w:t>
            </w:r>
          </w:p>
        </w:tc>
      </w:tr>
    </w:tbl>
    <w:p>
      <w:pPr>
        <w:spacing w:after="100"/>
      </w:pPr>
    </w:p>
    <w:p>
      <w:pPr>
        <w:pStyle w:val="Heading1"/>
        <w:pageBreakBefore/>
      </w:pPr>
      <w:r>
        <w:rPr>
          <w:rFonts w:ascii="Arial" w:cs="Arial" w:eastAsia="Arial" w:hAnsi="Arial"/>
          <w:b/>
          <w:bCs/>
          <w:color w:val="0D2B3E"/>
          <w:sz w:val="36"/>
          <w:szCs w:val="36"/>
        </w:rPr>
        <w:t xml:space="preserve">11. Future Scaling: Beyond 10,000 Tenants</w:t>
      </w:r>
    </w:p>
    <w:p>
      <w:pPr>
        <w:spacing w:after="140"/>
      </w:pPr>
      <w:r>
        <w:rPr>
          <w:rFonts w:ascii="Arial" w:cs="Arial" w:eastAsia="Arial" w:hAnsi="Arial"/>
          <w:color w:val="1E293B"/>
          <w:sz w:val="22"/>
          <w:szCs w:val="22"/>
        </w:rPr>
        <w:t xml:space="preserve">The architecture described above scales to 10K tenants. For growth beyond 10K, we have planned strategies:</w:t>
      </w:r>
    </w:p>
    <w:p>
      <w:pPr>
        <w:spacing w:after="100"/>
      </w:pPr>
    </w:p>
    <w:p>
      <w:pPr>
        <w:pStyle w:val="Heading2"/>
        <w:spacing w:after="120" w:before="280"/>
      </w:pPr>
      <w:r>
        <w:rPr>
          <w:rFonts w:ascii="Arial" w:cs="Arial" w:eastAsia="Arial" w:hAnsi="Arial"/>
          <w:b/>
          <w:bCs/>
          <w:color w:val="065A82"/>
          <w:sz w:val="28"/>
          <w:szCs w:val="28"/>
        </w:rPr>
        <w:t xml:space="preserve">11.1 Regional Sharding</w:t>
      </w:r>
    </w:p>
    <w:p>
      <w:pPr>
        <w:spacing w:after="140"/>
      </w:pPr>
      <w:r>
        <w:rPr>
          <w:rFonts w:ascii="Arial" w:cs="Arial" w:eastAsia="Arial" w:hAnsi="Arial"/>
          <w:color w:val="1E293B"/>
          <w:sz w:val="22"/>
          <w:szCs w:val="22"/>
        </w:rPr>
        <w:t xml:space="preserve">Tenants can be sharded by geographic region (AU/NZ vs Asia vs Global):</w:t>
      </w:r>
    </w:p>
    <w:p>
      <w:pPr>
        <w:pStyle w:val="ListParagraph"/>
        <w:numPr>
          <w:ilvl w:val="0"/>
          <w:numId w:val="2"/>
        </w:numPr>
        <w:spacing w:after="80"/>
      </w:pPr>
      <w:r>
        <w:rPr>
          <w:rFonts w:ascii="Arial" w:cs="Arial" w:eastAsia="Arial" w:hAnsi="Arial"/>
          <w:b w:val="false"/>
          <w:bCs w:val="false"/>
          <w:color w:val="1E293B"/>
          <w:sz w:val="22"/>
          <w:szCs w:val="22"/>
        </w:rPr>
        <w:t xml:space="preserve">Separate Databases: each region gets its own Aurora cluster in the local region</w:t>
      </w:r>
    </w:p>
    <w:p>
      <w:pPr>
        <w:pStyle w:val="ListParagraph"/>
        <w:numPr>
          <w:ilvl w:val="0"/>
          <w:numId w:val="2"/>
        </w:numPr>
        <w:spacing w:after="80"/>
      </w:pPr>
      <w:r>
        <w:rPr>
          <w:rFonts w:ascii="Arial" w:cs="Arial" w:eastAsia="Arial" w:hAnsi="Arial"/>
          <w:b w:val="false"/>
          <w:bCs w:val="false"/>
          <w:color w:val="1E293B"/>
          <w:sz w:val="22"/>
          <w:szCs w:val="22"/>
        </w:rPr>
        <w:t xml:space="preserve">API Routing: requests routed to the appropriate regional API based on tenant geography</w:t>
      </w:r>
    </w:p>
    <w:p>
      <w:pPr>
        <w:pStyle w:val="ListParagraph"/>
        <w:numPr>
          <w:ilvl w:val="0"/>
          <w:numId w:val="2"/>
        </w:numPr>
        <w:spacing w:after="80"/>
      </w:pPr>
      <w:r>
        <w:rPr>
          <w:rFonts w:ascii="Arial" w:cs="Arial" w:eastAsia="Arial" w:hAnsi="Arial"/>
          <w:b w:val="false"/>
          <w:bCs w:val="false"/>
          <w:color w:val="1E293B"/>
          <w:sz w:val="22"/>
          <w:szCs w:val="22"/>
        </w:rPr>
        <w:t xml:space="preserve">Benefits: lower latency for non-AU tenants, regulatory flexibility, independent scaling</w:t>
      </w:r>
    </w:p>
    <w:p>
      <w:pPr>
        <w:spacing w:after="100"/>
      </w:pPr>
    </w:p>
    <w:p>
      <w:pPr>
        <w:pStyle w:val="Heading2"/>
        <w:spacing w:after="120" w:before="280"/>
      </w:pPr>
      <w:r>
        <w:rPr>
          <w:rFonts w:ascii="Arial" w:cs="Arial" w:eastAsia="Arial" w:hAnsi="Arial"/>
          <w:b/>
          <w:bCs/>
          <w:color w:val="065A82"/>
          <w:sz w:val="28"/>
          <w:szCs w:val="28"/>
        </w:rPr>
        <w:t xml:space="preserve">11.2 Dedicated Tenant Tier</w:t>
      </w:r>
    </w:p>
    <w:p>
      <w:pPr>
        <w:spacing w:after="140"/>
      </w:pPr>
      <w:r>
        <w:rPr>
          <w:rFonts w:ascii="Arial" w:cs="Arial" w:eastAsia="Arial" w:hAnsi="Arial"/>
          <w:color w:val="1E293B"/>
          <w:sz w:val="22"/>
          <w:szCs w:val="22"/>
        </w:rPr>
        <w:t xml:space="preserve">Enterprise customers (1M+ ARR) can be offered a dedicated infrastructure option:</w:t>
      </w:r>
    </w:p>
    <w:p>
      <w:pPr>
        <w:pStyle w:val="ListParagraph"/>
        <w:numPr>
          <w:ilvl w:val="0"/>
          <w:numId w:val="2"/>
        </w:numPr>
        <w:spacing w:after="80"/>
      </w:pPr>
      <w:r>
        <w:rPr>
          <w:rFonts w:ascii="Arial" w:cs="Arial" w:eastAsia="Arial" w:hAnsi="Arial"/>
          <w:b w:val="false"/>
          <w:bCs w:val="false"/>
          <w:color w:val="1E293B"/>
          <w:sz w:val="22"/>
          <w:szCs w:val="22"/>
        </w:rPr>
        <w:t xml:space="preserve">Dedicated Database: isolated Aurora instance for this customer only</w:t>
      </w:r>
    </w:p>
    <w:p>
      <w:pPr>
        <w:pStyle w:val="ListParagraph"/>
        <w:numPr>
          <w:ilvl w:val="0"/>
          <w:numId w:val="2"/>
        </w:numPr>
        <w:spacing w:after="80"/>
      </w:pPr>
      <w:r>
        <w:rPr>
          <w:rFonts w:ascii="Arial" w:cs="Arial" w:eastAsia="Arial" w:hAnsi="Arial"/>
          <w:b w:val="false"/>
          <w:bCs w:val="false"/>
          <w:color w:val="1E293B"/>
          <w:sz w:val="22"/>
          <w:szCs w:val="22"/>
        </w:rPr>
        <w:t xml:space="preserve">SLA: 99.99% uptime with guaranteed capacity</w:t>
      </w:r>
    </w:p>
    <w:p>
      <w:pPr>
        <w:pStyle w:val="ListParagraph"/>
        <w:numPr>
          <w:ilvl w:val="0"/>
          <w:numId w:val="2"/>
        </w:numPr>
        <w:spacing w:after="80"/>
      </w:pPr>
      <w:r>
        <w:rPr>
          <w:rFonts w:ascii="Arial" w:cs="Arial" w:eastAsia="Arial" w:hAnsi="Arial"/>
          <w:b w:val="false"/>
          <w:bCs w:val="false"/>
          <w:color w:val="1E293B"/>
          <w:sz w:val="22"/>
          <w:szCs w:val="22"/>
        </w:rPr>
        <w:t xml:space="preserve">Customization: ability to add custom features or branding</w:t>
      </w:r>
    </w:p>
    <w:p>
      <w:pPr>
        <w:pStyle w:val="ListParagraph"/>
        <w:numPr>
          <w:ilvl w:val="0"/>
          <w:numId w:val="2"/>
        </w:numPr>
        <w:spacing w:after="80"/>
      </w:pPr>
      <w:r>
        <w:rPr>
          <w:rFonts w:ascii="Arial" w:cs="Arial" w:eastAsia="Arial" w:hAnsi="Arial"/>
          <w:b w:val="false"/>
          <w:bCs w:val="false"/>
          <w:color w:val="1E293B"/>
          <w:sz w:val="22"/>
          <w:szCs w:val="22"/>
        </w:rPr>
        <w:t xml:space="preserve">Support: dedicated technical account manager</w:t>
      </w:r>
    </w:p>
    <w:p>
      <w:pPr>
        <w:spacing w:after="100"/>
      </w:pPr>
    </w:p>
    <w:p>
      <w:pPr>
        <w:pStyle w:val="Heading2"/>
        <w:spacing w:after="120" w:before="280"/>
      </w:pPr>
      <w:r>
        <w:rPr>
          <w:rFonts w:ascii="Arial" w:cs="Arial" w:eastAsia="Arial" w:hAnsi="Arial"/>
          <w:b/>
          <w:bCs/>
          <w:color w:val="065A82"/>
          <w:sz w:val="28"/>
          <w:szCs w:val="28"/>
        </w:rPr>
        <w:t xml:space="preserve">11.3 Cache Optimization</w:t>
      </w:r>
    </w:p>
    <w:p>
      <w:pPr>
        <w:spacing w:after="140"/>
      </w:pPr>
      <w:r>
        <w:rPr>
          <w:rFonts w:ascii="Arial" w:cs="Arial" w:eastAsia="Arial" w:hAnsi="Arial"/>
          <w:color w:val="1E293B"/>
          <w:sz w:val="22"/>
          <w:szCs w:val="22"/>
        </w:rPr>
        <w:t xml:space="preserve">As query volume increases, we move from Redis caching to distributed caching:</w:t>
      </w:r>
    </w:p>
    <w:p>
      <w:pPr>
        <w:pStyle w:val="ListParagraph"/>
        <w:numPr>
          <w:ilvl w:val="0"/>
          <w:numId w:val="2"/>
        </w:numPr>
        <w:spacing w:after="80"/>
      </w:pPr>
      <w:r>
        <w:rPr>
          <w:rFonts w:ascii="Arial" w:cs="Arial" w:eastAsia="Arial" w:hAnsi="Arial"/>
          <w:b w:val="false"/>
          <w:bCs w:val="false"/>
          <w:color w:val="1E293B"/>
          <w:sz w:val="22"/>
          <w:szCs w:val="22"/>
        </w:rPr>
        <w:t xml:space="preserve">DynamoDB Global Tables: distributed across regions, replicates to &lt;1 second</w:t>
      </w:r>
    </w:p>
    <w:p>
      <w:pPr>
        <w:pStyle w:val="ListParagraph"/>
        <w:numPr>
          <w:ilvl w:val="0"/>
          <w:numId w:val="2"/>
        </w:numPr>
        <w:spacing w:after="80"/>
      </w:pPr>
      <w:r>
        <w:rPr>
          <w:rFonts w:ascii="Arial" w:cs="Arial" w:eastAsia="Arial" w:hAnsi="Arial"/>
          <w:b w:val="false"/>
          <w:bCs w:val="false"/>
          <w:color w:val="1E293B"/>
          <w:sz w:val="22"/>
          <w:szCs w:val="22"/>
        </w:rPr>
        <w:t xml:space="preserve">ElastiCache Clusters: increased cluster size and node count</w:t>
      </w:r>
    </w:p>
    <w:p>
      <w:pPr>
        <w:pStyle w:val="ListParagraph"/>
        <w:numPr>
          <w:ilvl w:val="0"/>
          <w:numId w:val="2"/>
        </w:numPr>
        <w:spacing w:after="80"/>
      </w:pPr>
      <w:r>
        <w:rPr>
          <w:rFonts w:ascii="Arial" w:cs="Arial" w:eastAsia="Arial" w:hAnsi="Arial"/>
          <w:b w:val="false"/>
          <w:bCs w:val="false"/>
          <w:color w:val="1E293B"/>
          <w:sz w:val="22"/>
          <w:szCs w:val="22"/>
        </w:rPr>
        <w:t xml:space="preserve">Application Caching: strategic caching of hot data (campaign configs, user sessions)</w:t>
      </w:r>
    </w:p>
    <w:p>
      <w:pPr>
        <w:spacing w:after="100"/>
      </w:pPr>
    </w:p>
    <w:p>
      <w:r>
        <w:br w:type="page"/>
      </w:r>
    </w:p>
    <w:p>
      <w:pPr>
        <w:pStyle w:val="Heading1"/>
        <w:pageBreakBefore/>
      </w:pPr>
      <w:r>
        <w:rPr>
          <w:rFonts w:ascii="Arial" w:cs="Arial" w:eastAsia="Arial" w:hAnsi="Arial"/>
          <w:b/>
          <w:bCs/>
          <w:color w:val="0D2B3E"/>
          <w:sz w:val="36"/>
          <w:szCs w:val="36"/>
        </w:rPr>
        <w:t xml:space="preserve">Appendix: Glossary of Terms</w:t>
      </w:r>
    </w:p>
    <w:p>
      <w:pPr>
        <w:pStyle w:val="ListParagraph"/>
        <w:numPr>
          <w:ilvl w:val="0"/>
          <w:numId w:val="2"/>
        </w:numPr>
        <w:spacing w:after="80"/>
      </w:pPr>
      <w:r>
        <w:rPr>
          <w:rFonts w:ascii="Arial" w:cs="Arial" w:eastAsia="Arial" w:hAnsi="Arial"/>
          <w:b w:val="false"/>
          <w:bCs w:val="false"/>
          <w:color w:val="1E293B"/>
          <w:sz w:val="22"/>
          <w:szCs w:val="22"/>
        </w:rPr>
        <w:t xml:space="preserve">ACU (Aurora Capacity Unit): billing unit for Aurora Serverless, scales 0.5 to 128 per cluster</w:t>
      </w:r>
    </w:p>
    <w:p>
      <w:pPr>
        <w:pStyle w:val="ListParagraph"/>
        <w:numPr>
          <w:ilvl w:val="0"/>
          <w:numId w:val="2"/>
        </w:numPr>
        <w:spacing w:after="80"/>
      </w:pPr>
      <w:r>
        <w:rPr>
          <w:rFonts w:ascii="Arial" w:cs="Arial" w:eastAsia="Arial" w:hAnsi="Arial"/>
          <w:b w:val="false"/>
          <w:bCs w:val="false"/>
          <w:color w:val="1E293B"/>
          <w:sz w:val="22"/>
          <w:szCs w:val="22"/>
        </w:rPr>
        <w:t xml:space="preserve">ARPU: Average Revenue Per User</w:t>
      </w:r>
    </w:p>
    <w:p>
      <w:pPr>
        <w:pStyle w:val="ListParagraph"/>
        <w:numPr>
          <w:ilvl w:val="0"/>
          <w:numId w:val="2"/>
        </w:numPr>
        <w:spacing w:after="80"/>
      </w:pPr>
      <w:r>
        <w:rPr>
          <w:rFonts w:ascii="Arial" w:cs="Arial" w:eastAsia="Arial" w:hAnsi="Arial"/>
          <w:b w:val="false"/>
          <w:bCs w:val="false"/>
          <w:color w:val="1E293B"/>
          <w:sz w:val="22"/>
          <w:szCs w:val="22"/>
        </w:rPr>
        <w:t xml:space="preserve">CSRF: Cross-Site Request Forgery attack mitigation using double-submit cookies</w:t>
      </w:r>
    </w:p>
    <w:p>
      <w:pPr>
        <w:pStyle w:val="ListParagraph"/>
        <w:numPr>
          <w:ilvl w:val="0"/>
          <w:numId w:val="2"/>
        </w:numPr>
        <w:spacing w:after="80"/>
      </w:pPr>
      <w:r>
        <w:rPr>
          <w:rFonts w:ascii="Arial" w:cs="Arial" w:eastAsia="Arial" w:hAnsi="Arial"/>
          <w:b w:val="false"/>
          <w:bCs w:val="false"/>
          <w:color w:val="1E293B"/>
          <w:sz w:val="22"/>
          <w:szCs w:val="22"/>
        </w:rPr>
        <w:t xml:space="preserve">DDoS: Distributed Denial of Service attack (blocked by AWS Shield)</w:t>
      </w:r>
    </w:p>
    <w:p>
      <w:pPr>
        <w:pStyle w:val="ListParagraph"/>
        <w:numPr>
          <w:ilvl w:val="0"/>
          <w:numId w:val="2"/>
        </w:numPr>
        <w:spacing w:after="80"/>
      </w:pPr>
      <w:r>
        <w:rPr>
          <w:rFonts w:ascii="Arial" w:cs="Arial" w:eastAsia="Arial" w:hAnsi="Arial"/>
          <w:b w:val="false"/>
          <w:bCs w:val="false"/>
          <w:color w:val="1E293B"/>
          <w:sz w:val="22"/>
          <w:szCs w:val="22"/>
        </w:rPr>
        <w:t xml:space="preserve">ECS Fargate: AWS container orchestration service (runs Docker containers serverless)</w:t>
      </w:r>
    </w:p>
    <w:p>
      <w:pPr>
        <w:pStyle w:val="ListParagraph"/>
        <w:numPr>
          <w:ilvl w:val="0"/>
          <w:numId w:val="2"/>
        </w:numPr>
        <w:spacing w:after="80"/>
      </w:pPr>
      <w:r>
        <w:rPr>
          <w:rFonts w:ascii="Arial" w:cs="Arial" w:eastAsia="Arial" w:hAnsi="Arial"/>
          <w:b w:val="false"/>
          <w:bCs w:val="false"/>
          <w:color w:val="1E293B"/>
          <w:sz w:val="22"/>
          <w:szCs w:val="22"/>
        </w:rPr>
        <w:t xml:space="preserve">MRR / ARR: Monthly / Annual Recurring Revenue</w:t>
      </w:r>
    </w:p>
    <w:p>
      <w:pPr>
        <w:pStyle w:val="ListParagraph"/>
        <w:numPr>
          <w:ilvl w:val="0"/>
          <w:numId w:val="2"/>
        </w:numPr>
        <w:spacing w:after="80"/>
      </w:pPr>
      <w:r>
        <w:rPr>
          <w:rFonts w:ascii="Arial" w:cs="Arial" w:eastAsia="Arial" w:hAnsi="Arial"/>
          <w:b w:val="false"/>
          <w:bCs w:val="false"/>
          <w:color w:val="1E293B"/>
          <w:sz w:val="22"/>
          <w:szCs w:val="22"/>
        </w:rPr>
        <w:t xml:space="preserve">OAuth: industry-standard protocol for delegated authentication (used for Xero, MYOB, etc)</w:t>
      </w:r>
    </w:p>
    <w:p>
      <w:pPr>
        <w:pStyle w:val="ListParagraph"/>
        <w:numPr>
          <w:ilvl w:val="0"/>
          <w:numId w:val="2"/>
        </w:numPr>
        <w:spacing w:after="80"/>
      </w:pPr>
      <w:r>
        <w:rPr>
          <w:rFonts w:ascii="Arial" w:cs="Arial" w:eastAsia="Arial" w:hAnsi="Arial"/>
          <w:b w:val="false"/>
          <w:bCs w:val="false"/>
          <w:color w:val="1E293B"/>
          <w:sz w:val="22"/>
          <w:szCs w:val="22"/>
        </w:rPr>
        <w:t xml:space="preserve">PgBouncer: PostgreSQL connection pooling service</w:t>
      </w:r>
    </w:p>
    <w:p>
      <w:pPr>
        <w:pStyle w:val="ListParagraph"/>
        <w:numPr>
          <w:ilvl w:val="0"/>
          <w:numId w:val="2"/>
        </w:numPr>
        <w:spacing w:after="80"/>
      </w:pPr>
      <w:r>
        <w:rPr>
          <w:rFonts w:ascii="Arial" w:cs="Arial" w:eastAsia="Arial" w:hAnsi="Arial"/>
          <w:b w:val="false"/>
          <w:bCs w:val="false"/>
          <w:color w:val="1E293B"/>
          <w:sz w:val="22"/>
          <w:szCs w:val="22"/>
        </w:rPr>
        <w:t xml:space="preserve">RLS: Row-Level Security, PostgreSQL feature to automatically filter rows by tenant_id</w:t>
      </w:r>
    </w:p>
    <w:p>
      <w:pPr>
        <w:pStyle w:val="ListParagraph"/>
        <w:numPr>
          <w:ilvl w:val="0"/>
          <w:numId w:val="2"/>
        </w:numPr>
        <w:spacing w:after="80"/>
      </w:pPr>
      <w:r>
        <w:rPr>
          <w:rFonts w:ascii="Arial" w:cs="Arial" w:eastAsia="Arial" w:hAnsi="Arial"/>
          <w:b w:val="false"/>
          <w:bCs w:val="false"/>
          <w:color w:val="1E293B"/>
          <w:sz w:val="22"/>
          <w:szCs w:val="22"/>
        </w:rPr>
        <w:t xml:space="preserve">RPO / RTO: Recovery Point Objective / Recovery Time Objective (backup/disaster recovery metrics)</w:t>
      </w:r>
    </w:p>
    <w:p>
      <w:pPr>
        <w:pStyle w:val="ListParagraph"/>
        <w:numPr>
          <w:ilvl w:val="0"/>
          <w:numId w:val="2"/>
        </w:numPr>
        <w:spacing w:after="80"/>
      </w:pPr>
      <w:r>
        <w:rPr>
          <w:rFonts w:ascii="Arial" w:cs="Arial" w:eastAsia="Arial" w:hAnsi="Arial"/>
          <w:b w:val="false"/>
          <w:bCs w:val="false"/>
          <w:color w:val="1E293B"/>
          <w:sz w:val="22"/>
          <w:szCs w:val="22"/>
        </w:rPr>
        <w:t xml:space="preserve">SLA: Service Level Agreement (uptime guarantee)</w:t>
      </w:r>
    </w:p>
    <w:p>
      <w:pPr>
        <w:pStyle w:val="ListParagraph"/>
        <w:numPr>
          <w:ilvl w:val="0"/>
          <w:numId w:val="2"/>
        </w:numPr>
        <w:spacing w:after="80"/>
      </w:pPr>
      <w:r>
        <w:rPr>
          <w:rFonts w:ascii="Arial" w:cs="Arial" w:eastAsia="Arial" w:hAnsi="Arial"/>
          <w:b w:val="false"/>
          <w:bCs w:val="false"/>
          <w:color w:val="1E293B"/>
          <w:sz w:val="22"/>
          <w:szCs w:val="22"/>
        </w:rPr>
        <w:t xml:space="preserve">XSS: Cross-Site Scripting attack mitigation via AWS WAF</w:t>
      </w:r>
    </w:p>
    <w:p>
      <w:pPr>
        <w:spacing w:after="100"/>
      </w:pPr>
    </w:p>
    <w:p>
      <w:pPr>
        <w:spacing w:after="100"/>
      </w:pPr>
    </w:p>
    <w:p>
      <w:pPr>
        <w:spacing w:after="140"/>
      </w:pPr>
      <w:r>
        <w:rPr>
          <w:rFonts w:ascii="Arial" w:cs="Arial" w:eastAsia="Arial" w:hAnsi="Arial"/>
          <w:i/>
          <w:iCs/>
          <w:color w:val="64748B"/>
          <w:sz w:val="22"/>
          <w:szCs w:val="22"/>
        </w:rPr>
        <w:t xml:space="preserve">Document prepared by the Dolphi Engineering Team. For questions, contact tech@dolphi.com.au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896" w:sz="4" w:space="4"/>
      </w:pBdr>
      <w:tabs>
        <w:tab w:val="right" w:pos="9360"/>
      </w:tabs>
    </w:pPr>
    <w:r>
      <w:rPr>
        <w:rFonts w:ascii="Arial" w:cs="Arial" w:eastAsia="Arial" w:hAnsi="Arial"/>
        <w:color w:val="64748B"/>
        <w:sz w:val="18"/>
        <w:szCs w:val="18"/>
      </w:rPr>
      <w:t xml:space="preserve">Dolphi Australia Pty Ltd  |  dolphi.com.au</w:t>
    </w:r>
    <w:r>
      <w:rPr>
        <w:rFonts w:ascii="Arial" w:cs="Arial" w:eastAsia="Arial" w:hAnsi="Arial"/>
        <w:color w:val="64748B"/>
        <w:sz w:val="18"/>
        <w:szCs w:val="18"/>
      </w:rPr>
      <w:t xml:space="preserve">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896" w:sz="4" w:space="8"/>
      </w:pBdr>
      <w:tabs>
        <w:tab w:val="right" w:pos="9360"/>
      </w:tabs>
    </w:pPr>
    <w:r>
      <w:rPr>
        <w:rFonts w:ascii="Arial" w:cs="Arial" w:eastAsia="Arial" w:hAnsi="Arial"/>
        <w:color w:val="64748B"/>
        <w:sz w:val="18"/>
        <w:szCs w:val="18"/>
      </w:rPr>
      <w:t xml:space="preserve">Dolphi Marketing Suite — Scalability Architecture for 10,000 Businesses</w:t>
    </w:r>
    <w:r>
      <w:rPr>
        <w:rFonts w:ascii="Arial" w:cs="Arial" w:eastAsia="Arial" w:hAnsi="Arial"/>
        <w:color w:val="64748B"/>
        <w:sz w:val="18"/>
        <w:szCs w:val="18"/>
      </w:rPr>
      <w:t xml:space="preserve">	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D2B3E"/>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65A82"/>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0A8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2026-03-16T02:14:10.510Z</dcterms:created>
  <dcterms:modified xsi:type="dcterms:W3CDTF">2026-03-16T02:14:10.511Z</dcterms:modified>
</cp:coreProperties>
</file>

<file path=docProps/custom.xml><?xml version="1.0" encoding="utf-8"?>
<Properties xmlns="http://schemas.openxmlformats.org/officeDocument/2006/custom-properties" xmlns:vt="http://schemas.openxmlformats.org/officeDocument/2006/docPropsVTypes"/>
</file>