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50C" w:rsidRPr="0080050C" w:rsidRDefault="0080050C" w:rsidP="0080050C">
      <w:pPr>
        <w:widowControl/>
        <w:shd w:val="clear" w:color="auto" w:fill="FFFFFF"/>
        <w:spacing w:line="600" w:lineRule="atLeast"/>
        <w:jc w:val="left"/>
        <w:outlineLvl w:val="2"/>
        <w:rPr>
          <w:rFonts w:ascii="inherit" w:eastAsia="宋体" w:hAnsi="inherit" w:cs="Arial"/>
          <w:b/>
          <w:bCs/>
          <w:color w:val="333333"/>
          <w:kern w:val="0"/>
          <w:sz w:val="33"/>
          <w:szCs w:val="33"/>
        </w:rPr>
      </w:pPr>
      <w:r w:rsidRPr="0080050C">
        <w:rPr>
          <w:rFonts w:ascii="inherit" w:eastAsia="宋体" w:hAnsi="inherit" w:cs="Arial"/>
          <w:b/>
          <w:bCs/>
          <w:color w:val="333333"/>
          <w:kern w:val="0"/>
          <w:sz w:val="33"/>
          <w:szCs w:val="33"/>
        </w:rPr>
        <w:t>查看成绩</w:t>
      </w:r>
    </w:p>
    <w:p w:rsidR="0080050C" w:rsidRPr="0080050C" w:rsidRDefault="0080050C" w:rsidP="008005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050C" w:rsidRPr="0080050C" w:rsidRDefault="0080050C" w:rsidP="0080050C">
      <w:pPr>
        <w:widowControl/>
        <w:shd w:val="clear" w:color="auto" w:fill="FFFFFF"/>
        <w:spacing w:line="600" w:lineRule="atLeast"/>
        <w:jc w:val="left"/>
        <w:outlineLvl w:val="2"/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</w:pPr>
      <w:r w:rsidRPr="0080050C">
        <w:rPr>
          <w:rFonts w:ascii="inherit" w:eastAsia="宋体" w:hAnsi="inherit" w:cs="Arial"/>
          <w:b/>
          <w:bCs/>
          <w:color w:val="333333"/>
          <w:kern w:val="0"/>
          <w:sz w:val="30"/>
          <w:szCs w:val="30"/>
        </w:rPr>
        <w:t>OH YASUSHI</w:t>
      </w:r>
    </w:p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050C">
        <w:rPr>
          <w:rFonts w:ascii="Arial" w:eastAsia="宋体" w:hAnsi="Arial" w:cs="Arial"/>
          <w:b/>
          <w:bCs/>
          <w:color w:val="333333"/>
          <w:kern w:val="0"/>
          <w:szCs w:val="21"/>
        </w:rPr>
        <w:t>ETS Registration Number</w:t>
      </w:r>
    </w:p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80050C">
        <w:rPr>
          <w:rFonts w:ascii="Arial" w:eastAsia="宋体" w:hAnsi="Arial" w:cs="Arial"/>
          <w:color w:val="666666"/>
          <w:kern w:val="0"/>
          <w:sz w:val="23"/>
          <w:szCs w:val="23"/>
        </w:rPr>
        <w:t>0000000032595360</w:t>
      </w:r>
      <w:bookmarkStart w:id="0" w:name="_GoBack"/>
      <w:bookmarkEnd w:id="0"/>
    </w:p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050C">
        <w:rPr>
          <w:rFonts w:ascii="Arial" w:eastAsia="宋体" w:hAnsi="Arial" w:cs="Arial"/>
          <w:b/>
          <w:bCs/>
          <w:color w:val="333333"/>
          <w:kern w:val="0"/>
          <w:szCs w:val="21"/>
        </w:rPr>
        <w:t>ETS ID</w:t>
      </w:r>
    </w:p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80050C">
        <w:rPr>
          <w:rFonts w:ascii="Arial" w:eastAsia="宋体" w:hAnsi="Arial" w:cs="Arial"/>
          <w:color w:val="666666"/>
          <w:kern w:val="0"/>
          <w:sz w:val="23"/>
          <w:szCs w:val="23"/>
        </w:rPr>
        <w:t>12619314</w:t>
      </w:r>
    </w:p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050C">
        <w:rPr>
          <w:rFonts w:ascii="Arial" w:eastAsia="宋体" w:hAnsi="Arial" w:cs="Arial"/>
          <w:b/>
          <w:bCs/>
          <w:color w:val="333333"/>
          <w:kern w:val="0"/>
          <w:szCs w:val="21"/>
        </w:rPr>
        <w:t>Date of Birth</w:t>
      </w:r>
    </w:p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80050C">
        <w:rPr>
          <w:rFonts w:ascii="Arial" w:eastAsia="宋体" w:hAnsi="Arial" w:cs="Arial"/>
          <w:color w:val="666666"/>
          <w:kern w:val="0"/>
          <w:sz w:val="23"/>
          <w:szCs w:val="23"/>
        </w:rPr>
        <w:t>2001-9-27</w:t>
      </w:r>
    </w:p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050C">
        <w:rPr>
          <w:rFonts w:ascii="Arial" w:eastAsia="宋体" w:hAnsi="Arial" w:cs="Arial"/>
          <w:b/>
          <w:bCs/>
          <w:color w:val="333333"/>
          <w:kern w:val="0"/>
          <w:szCs w:val="21"/>
        </w:rPr>
        <w:t>Gender</w:t>
      </w:r>
    </w:p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80050C">
        <w:rPr>
          <w:rFonts w:ascii="Arial" w:eastAsia="宋体" w:hAnsi="Arial" w:cs="Arial"/>
          <w:color w:val="666666"/>
          <w:kern w:val="0"/>
          <w:sz w:val="23"/>
          <w:szCs w:val="23"/>
        </w:rPr>
        <w:t>Male</w:t>
      </w:r>
    </w:p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050C">
        <w:rPr>
          <w:rFonts w:ascii="Arial" w:eastAsia="宋体" w:hAnsi="Arial" w:cs="Arial"/>
          <w:b/>
          <w:bCs/>
          <w:color w:val="333333"/>
          <w:kern w:val="0"/>
          <w:szCs w:val="21"/>
        </w:rPr>
        <w:t>ID</w:t>
      </w:r>
    </w:p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80050C">
        <w:rPr>
          <w:rFonts w:ascii="Arial" w:eastAsia="宋体" w:hAnsi="Arial" w:cs="Arial"/>
          <w:color w:val="666666"/>
          <w:kern w:val="0"/>
          <w:sz w:val="23"/>
          <w:szCs w:val="23"/>
        </w:rPr>
        <w:t>MZ1097191</w:t>
      </w:r>
    </w:p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050C">
        <w:rPr>
          <w:rFonts w:ascii="Arial" w:eastAsia="宋体" w:hAnsi="Arial" w:cs="Arial"/>
          <w:b/>
          <w:bCs/>
          <w:color w:val="333333"/>
          <w:kern w:val="0"/>
          <w:szCs w:val="21"/>
        </w:rPr>
        <w:t>Email</w:t>
      </w:r>
    </w:p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80050C">
        <w:rPr>
          <w:rFonts w:ascii="Arial" w:eastAsia="宋体" w:hAnsi="Arial" w:cs="Arial"/>
          <w:color w:val="666666"/>
          <w:kern w:val="0"/>
          <w:sz w:val="23"/>
          <w:szCs w:val="23"/>
        </w:rPr>
        <w:t>c*******9@hotmail.com</w:t>
      </w:r>
    </w:p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050C">
        <w:rPr>
          <w:rFonts w:ascii="Arial" w:eastAsia="宋体" w:hAnsi="Arial" w:cs="Arial"/>
          <w:b/>
          <w:bCs/>
          <w:color w:val="333333"/>
          <w:kern w:val="0"/>
          <w:szCs w:val="21"/>
        </w:rPr>
        <w:t>Phone</w:t>
      </w:r>
    </w:p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80050C">
        <w:rPr>
          <w:rFonts w:ascii="Arial" w:eastAsia="宋体" w:hAnsi="Arial" w:cs="Arial"/>
          <w:color w:val="666666"/>
          <w:kern w:val="0"/>
          <w:sz w:val="23"/>
          <w:szCs w:val="23"/>
        </w:rPr>
        <w:t>136****1072</w:t>
      </w:r>
    </w:p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050C">
        <w:rPr>
          <w:rFonts w:ascii="Arial" w:eastAsia="宋体" w:hAnsi="Arial" w:cs="Arial"/>
          <w:b/>
          <w:bCs/>
          <w:color w:val="333333"/>
          <w:kern w:val="0"/>
          <w:szCs w:val="21"/>
        </w:rPr>
        <w:t>Address</w:t>
      </w:r>
    </w:p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80050C">
        <w:rPr>
          <w:rFonts w:ascii="Arial" w:eastAsia="宋体" w:hAnsi="Arial" w:cs="Arial"/>
          <w:color w:val="666666"/>
          <w:kern w:val="0"/>
          <w:sz w:val="23"/>
          <w:szCs w:val="23"/>
        </w:rPr>
        <w:t>罗秀路</w:t>
      </w:r>
      <w:r w:rsidRPr="0080050C">
        <w:rPr>
          <w:rFonts w:ascii="Arial" w:eastAsia="宋体" w:hAnsi="Arial" w:cs="Arial"/>
          <w:color w:val="666666"/>
          <w:kern w:val="0"/>
          <w:sz w:val="23"/>
          <w:szCs w:val="23"/>
        </w:rPr>
        <w:t>1980</w:t>
      </w:r>
      <w:r w:rsidRPr="0080050C">
        <w:rPr>
          <w:rFonts w:ascii="Arial" w:eastAsia="宋体" w:hAnsi="Arial" w:cs="Arial"/>
          <w:color w:val="666666"/>
          <w:kern w:val="0"/>
          <w:sz w:val="23"/>
          <w:szCs w:val="23"/>
        </w:rPr>
        <w:t>弄</w:t>
      </w:r>
      <w:r w:rsidRPr="0080050C">
        <w:rPr>
          <w:rFonts w:ascii="Arial" w:eastAsia="宋体" w:hAnsi="Arial" w:cs="Arial"/>
          <w:color w:val="666666"/>
          <w:kern w:val="0"/>
          <w:sz w:val="23"/>
          <w:szCs w:val="23"/>
        </w:rPr>
        <w:t>73</w:t>
      </w:r>
      <w:r w:rsidRPr="0080050C">
        <w:rPr>
          <w:rFonts w:ascii="Arial" w:eastAsia="宋体" w:hAnsi="Arial" w:cs="Arial"/>
          <w:color w:val="666666"/>
          <w:kern w:val="0"/>
          <w:sz w:val="23"/>
          <w:szCs w:val="23"/>
        </w:rPr>
        <w:t>号</w:t>
      </w:r>
      <w:r w:rsidRPr="0080050C">
        <w:rPr>
          <w:rFonts w:ascii="Arial" w:eastAsia="宋体" w:hAnsi="Arial" w:cs="Arial"/>
          <w:color w:val="666666"/>
          <w:kern w:val="0"/>
          <w:sz w:val="23"/>
          <w:szCs w:val="23"/>
        </w:rPr>
        <w:t>701</w:t>
      </w:r>
      <w:r w:rsidRPr="0080050C">
        <w:rPr>
          <w:rFonts w:ascii="Arial" w:eastAsia="宋体" w:hAnsi="Arial" w:cs="Arial"/>
          <w:color w:val="666666"/>
          <w:kern w:val="0"/>
          <w:sz w:val="23"/>
          <w:szCs w:val="23"/>
        </w:rPr>
        <w:t>室</w:t>
      </w:r>
    </w:p>
    <w:p w:rsidR="0080050C" w:rsidRPr="0080050C" w:rsidRDefault="0080050C" w:rsidP="008005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50C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3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2801"/>
        <w:gridCol w:w="930"/>
        <w:gridCol w:w="1111"/>
        <w:gridCol w:w="1021"/>
        <w:gridCol w:w="930"/>
        <w:gridCol w:w="750"/>
      </w:tblGrid>
      <w:tr w:rsidR="0080050C" w:rsidRPr="0080050C" w:rsidTr="008005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Listening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Speaking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Writing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Total</w:t>
            </w:r>
          </w:p>
        </w:tc>
      </w:tr>
      <w:tr w:rsidR="0080050C" w:rsidRPr="0080050C" w:rsidTr="008005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TOEFL </w:t>
            </w:r>
            <w:proofErr w:type="spellStart"/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iBT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Sun Apr 15 08:49:06 EDT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</w:tr>
    </w:tbl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333333"/>
          <w:kern w:val="0"/>
          <w:szCs w:val="21"/>
        </w:rPr>
      </w:pPr>
    </w:p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</w:tblGrid>
      <w:tr w:rsidR="0080050C" w:rsidRPr="0080050C" w:rsidTr="0080050C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history="1">
              <w:r w:rsidRPr="0080050C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How to interpret scores</w:t>
              </w:r>
            </w:hyperlink>
          </w:p>
        </w:tc>
      </w:tr>
      <w:tr w:rsidR="0080050C" w:rsidRPr="0080050C" w:rsidTr="0080050C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80050C" w:rsidRPr="0080050C" w:rsidRDefault="0080050C" w:rsidP="0080050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050C">
        <w:rPr>
          <w:rFonts w:ascii="Arial" w:eastAsia="宋体" w:hAnsi="Arial" w:cs="Arial"/>
          <w:color w:val="333333"/>
          <w:kern w:val="0"/>
          <w:szCs w:val="21"/>
        </w:rPr>
        <w:br/>
      </w:r>
      <w:r w:rsidRPr="0080050C">
        <w:rPr>
          <w:rFonts w:ascii="Arial" w:eastAsia="宋体" w:hAnsi="Arial" w:cs="Arial"/>
          <w:color w:val="333333"/>
          <w:kern w:val="0"/>
          <w:szCs w:val="21"/>
        </w:rPr>
        <w:br/>
      </w:r>
      <w:r w:rsidRPr="0080050C">
        <w:rPr>
          <w:rFonts w:ascii="Arial" w:eastAsia="宋体" w:hAnsi="Arial" w:cs="Arial"/>
          <w:color w:val="333333"/>
          <w:kern w:val="0"/>
          <w:szCs w:val="21"/>
        </w:rPr>
        <w:br/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1386"/>
        <w:gridCol w:w="4428"/>
      </w:tblGrid>
      <w:tr w:rsidR="0080050C" w:rsidRPr="0080050C" w:rsidTr="0080050C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Reading  Skills</w:t>
            </w:r>
            <w:proofErr w:type="gram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Level </w:t>
            </w: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Your Performance </w:t>
            </w: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0050C" w:rsidRPr="0080050C" w:rsidTr="008005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High(</w:t>
            </w:r>
            <w:proofErr w:type="gramEnd"/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22-30)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Test takers who receive a score at the </w:t>
            </w: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HIGH</w:t>
            </w: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level, as you did, </w:t>
            </w: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typically understand academic texts in English that require a wide range of reading abilities regardless of the difficulty of the texts.</w:t>
            </w:r>
          </w:p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Test takers who score at the </w:t>
            </w: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HIGH</w:t>
            </w: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 level, typically</w:t>
            </w:r>
          </w:p>
          <w:p w:rsidR="0080050C" w:rsidRPr="0080050C" w:rsidRDefault="0080050C" w:rsidP="0080050C">
            <w:pPr>
              <w:widowControl/>
              <w:numPr>
                <w:ilvl w:val="0"/>
                <w:numId w:val="1"/>
              </w:numPr>
              <w:spacing w:line="300" w:lineRule="atLeast"/>
              <w:ind w:left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have a very good command of academic vocabulary and grammatical structure;</w:t>
            </w:r>
          </w:p>
          <w:p w:rsidR="0080050C" w:rsidRPr="0080050C" w:rsidRDefault="0080050C" w:rsidP="0080050C">
            <w:pPr>
              <w:widowControl/>
              <w:numPr>
                <w:ilvl w:val="0"/>
                <w:numId w:val="1"/>
              </w:numPr>
              <w:spacing w:line="300" w:lineRule="atLeast"/>
              <w:ind w:left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can understand and connect information, make appropriate inferences, and synthesize ideas, even when the text is conceptually </w:t>
            </w:r>
            <w:proofErr w:type="gramStart"/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dense</w:t>
            </w:r>
            <w:proofErr w:type="gramEnd"/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and the language is complex;</w:t>
            </w:r>
          </w:p>
          <w:p w:rsidR="0080050C" w:rsidRPr="0080050C" w:rsidRDefault="0080050C" w:rsidP="0080050C">
            <w:pPr>
              <w:widowControl/>
              <w:numPr>
                <w:ilvl w:val="0"/>
                <w:numId w:val="1"/>
              </w:numPr>
              <w:spacing w:line="300" w:lineRule="atLeast"/>
              <w:ind w:left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can recognize the expository organization of a text and the role that specific information serves within the larger text, even when the text is conceptually dense; and</w:t>
            </w:r>
          </w:p>
          <w:p w:rsidR="0080050C" w:rsidRPr="0080050C" w:rsidRDefault="0080050C" w:rsidP="0080050C">
            <w:pPr>
              <w:widowControl/>
              <w:numPr>
                <w:ilvl w:val="0"/>
                <w:numId w:val="1"/>
              </w:numPr>
              <w:spacing w:line="300" w:lineRule="atLeast"/>
              <w:ind w:left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can abstract major ideas from a text, even when the text is conceptually dense and contains complex language.</w:t>
            </w:r>
          </w:p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0050C" w:rsidRPr="0080050C" w:rsidTr="0080050C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Listening  Skills</w:t>
            </w:r>
            <w:proofErr w:type="gram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Level </w:t>
            </w: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Your Performance </w:t>
            </w: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0050C" w:rsidRPr="0080050C" w:rsidTr="008005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Listening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High(</w:t>
            </w:r>
            <w:proofErr w:type="gramEnd"/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22-30)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Test takers who receive a score at the </w:t>
            </w: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HIGH level</w:t>
            </w: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, as you did, typically understand conversations and lectures in English that present a wide range of listening demands. These demands can include difficult vocabulary (uncommon terms, or colloquial or figurative language), complex grammatical structures, abstract or complex ideas, and/or making sense of unexpected or seemingly contradictory information.</w:t>
            </w:r>
          </w:p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When listening to lectures and conversations like these, test takers at the </w:t>
            </w: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HIGH</w:t>
            </w: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 level typically can</w:t>
            </w:r>
          </w:p>
          <w:p w:rsidR="0080050C" w:rsidRPr="0080050C" w:rsidRDefault="0080050C" w:rsidP="0080050C">
            <w:pPr>
              <w:widowControl/>
              <w:numPr>
                <w:ilvl w:val="0"/>
                <w:numId w:val="2"/>
              </w:numPr>
              <w:spacing w:line="300" w:lineRule="atLeast"/>
              <w:ind w:left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understand main ideas and important details, whether they are stated or implied;</w:t>
            </w:r>
          </w:p>
          <w:p w:rsidR="0080050C" w:rsidRPr="0080050C" w:rsidRDefault="0080050C" w:rsidP="0080050C">
            <w:pPr>
              <w:widowControl/>
              <w:numPr>
                <w:ilvl w:val="0"/>
                <w:numId w:val="2"/>
              </w:numPr>
              <w:spacing w:line="300" w:lineRule="atLeast"/>
              <w:ind w:left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distinguish more important ideas from less important ones;</w:t>
            </w:r>
          </w:p>
          <w:p w:rsidR="0080050C" w:rsidRPr="0080050C" w:rsidRDefault="0080050C" w:rsidP="0080050C">
            <w:pPr>
              <w:widowControl/>
              <w:numPr>
                <w:ilvl w:val="0"/>
                <w:numId w:val="2"/>
              </w:numPr>
              <w:spacing w:line="300" w:lineRule="atLeast"/>
              <w:ind w:left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understand how information is being used (for example, to provide evidence for a claim or describe a step in a complex process);</w:t>
            </w:r>
          </w:p>
          <w:p w:rsidR="0080050C" w:rsidRPr="0080050C" w:rsidRDefault="0080050C" w:rsidP="0080050C">
            <w:pPr>
              <w:widowControl/>
              <w:numPr>
                <w:ilvl w:val="0"/>
                <w:numId w:val="2"/>
              </w:numPr>
              <w:spacing w:line="300" w:lineRule="atLeast"/>
              <w:ind w:left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recognize how pieces of information are connected (for example, in a cause-and-effect relationship);</w:t>
            </w:r>
          </w:p>
          <w:p w:rsidR="0080050C" w:rsidRPr="0080050C" w:rsidRDefault="0080050C" w:rsidP="0080050C">
            <w:pPr>
              <w:widowControl/>
              <w:numPr>
                <w:ilvl w:val="0"/>
                <w:numId w:val="2"/>
              </w:numPr>
              <w:spacing w:line="300" w:lineRule="atLeast"/>
              <w:ind w:left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understand </w:t>
            </w:r>
            <w:proofErr w:type="gramStart"/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many different ways</w:t>
            </w:r>
            <w:proofErr w:type="gramEnd"/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that speakers use language for purposes other than to give information (for example, to emphasize a point, express agreement or disagreement, or convey intentions indirectly); and</w:t>
            </w:r>
          </w:p>
          <w:p w:rsidR="0080050C" w:rsidRPr="0080050C" w:rsidRDefault="0080050C" w:rsidP="0080050C">
            <w:pPr>
              <w:widowControl/>
              <w:numPr>
                <w:ilvl w:val="0"/>
                <w:numId w:val="2"/>
              </w:numPr>
              <w:spacing w:line="300" w:lineRule="atLeast"/>
              <w:ind w:left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synthesize information, even when it is not presented in sequence, and make correct inferences </w:t>
            </w:r>
            <w:proofErr w:type="gramStart"/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on the basis of</w:t>
            </w:r>
            <w:proofErr w:type="gramEnd"/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that information.</w:t>
            </w:r>
          </w:p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0050C" w:rsidRPr="0080050C" w:rsidTr="0080050C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Speaking  Skills</w:t>
            </w:r>
            <w:proofErr w:type="gram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Level </w:t>
            </w: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Your Performance </w:t>
            </w: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0050C" w:rsidRPr="0080050C" w:rsidTr="008005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Speaking about familiar topics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Fair(</w:t>
            </w:r>
            <w:proofErr w:type="gramEnd"/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2.5 - 3.0)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Your responses indicate you </w:t>
            </w:r>
            <w:proofErr w:type="gramStart"/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are able to</w:t>
            </w:r>
            <w:proofErr w:type="gramEnd"/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speak in English about your personal experiences and opinions in a mostly clear and coherent manner. Your speech is mostly clear with only occasional errors. Grammar and vocabulary are somewhat limited and include some </w:t>
            </w: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errors. At times, the limitations prevent you from elaborating fully on your ideas, but they do not seriously interfere with overall communication.</w:t>
            </w:r>
          </w:p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0050C" w:rsidRPr="0080050C" w:rsidTr="008005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Speaking about campus situations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Fair(</w:t>
            </w:r>
            <w:proofErr w:type="gramEnd"/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2.5 - 3.0)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Your responses demonstrate an ability to speak in English about reading material and experiences typically encountered by university students. You </w:t>
            </w:r>
            <w:proofErr w:type="gramStart"/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are able to</w:t>
            </w:r>
            <w:proofErr w:type="gramEnd"/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convey relevant information about conversations, newspaper articles, and campus bulletins; however, some details are missing or inaccurate. Limitations of grammar, vocabulary, and pronunciation at times cause difficulty for the listener. However, they do not seriously interfere with overall communication.</w:t>
            </w:r>
          </w:p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0050C" w:rsidRPr="0080050C" w:rsidTr="008005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Speaking about academic course 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Good(</w:t>
            </w:r>
            <w:proofErr w:type="gramEnd"/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3.5 - 4.0)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Your responses demonstrate an ability to communicate effectively in English about academic topics typical of first-year university studies. Your speech is mostly clear and fluent. You </w:t>
            </w:r>
            <w:proofErr w:type="gramStart"/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are able to</w:t>
            </w:r>
            <w:proofErr w:type="gramEnd"/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use appropriate vocabulary and grammar to explain concepts and ideas from reading or lecture material. You </w:t>
            </w:r>
            <w:proofErr w:type="gramStart"/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are able to</w:t>
            </w:r>
            <w:proofErr w:type="gramEnd"/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talk about key information and relevant details with only minor inaccuracies.</w:t>
            </w:r>
          </w:p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0050C" w:rsidRPr="0080050C" w:rsidTr="0080050C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Writing  Skills</w:t>
            </w:r>
            <w:proofErr w:type="gram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Level </w:t>
            </w: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Your Performance </w:t>
            </w: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0050C" w:rsidRPr="0080050C" w:rsidTr="008005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Writing based on reading and listening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Good(</w:t>
            </w:r>
            <w:proofErr w:type="gramEnd"/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4.0 - 5.0)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You responded well to the task, relating the lecture to the reading. Weaknesses, if you have any, might have to do with</w:t>
            </w:r>
          </w:p>
          <w:p w:rsidR="0080050C" w:rsidRPr="0080050C" w:rsidRDefault="0080050C" w:rsidP="0080050C">
            <w:pPr>
              <w:widowControl/>
              <w:numPr>
                <w:ilvl w:val="0"/>
                <w:numId w:val="3"/>
              </w:numPr>
              <w:spacing w:line="300" w:lineRule="atLeast"/>
              <w:ind w:left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slight imprecision in your summary of some of the main points and/or</w:t>
            </w:r>
          </w:p>
          <w:p w:rsidR="0080050C" w:rsidRPr="0080050C" w:rsidRDefault="0080050C" w:rsidP="0080050C">
            <w:pPr>
              <w:widowControl/>
              <w:numPr>
                <w:ilvl w:val="0"/>
                <w:numId w:val="3"/>
              </w:numPr>
              <w:spacing w:line="300" w:lineRule="atLeast"/>
              <w:ind w:left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use of English that is occasionally ungrammatical or unclear.</w:t>
            </w:r>
          </w:p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0050C" w:rsidRPr="0080050C" w:rsidTr="008005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Writing based on knowledge and experience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Good(</w:t>
            </w:r>
            <w:proofErr w:type="gramEnd"/>
            <w:r w:rsidRPr="008005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4.0 - 5.0)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050C" w:rsidRPr="0080050C" w:rsidRDefault="0080050C" w:rsidP="0080050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You responded with a well-organized and developed essay. Weaknesses, if you have any, might have to do with</w:t>
            </w:r>
          </w:p>
          <w:p w:rsidR="0080050C" w:rsidRPr="0080050C" w:rsidRDefault="0080050C" w:rsidP="0080050C">
            <w:pPr>
              <w:widowControl/>
              <w:numPr>
                <w:ilvl w:val="0"/>
                <w:numId w:val="4"/>
              </w:numPr>
              <w:spacing w:line="300" w:lineRule="atLeast"/>
              <w:ind w:left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use of English that is occasionally ungrammatical, unclear, or unidiomatic and/or</w:t>
            </w:r>
          </w:p>
          <w:p w:rsidR="0080050C" w:rsidRPr="0080050C" w:rsidRDefault="0080050C" w:rsidP="0080050C">
            <w:pPr>
              <w:widowControl/>
              <w:numPr>
                <w:ilvl w:val="0"/>
                <w:numId w:val="4"/>
              </w:numPr>
              <w:spacing w:line="300" w:lineRule="atLeast"/>
              <w:ind w:left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050C">
              <w:rPr>
                <w:rFonts w:ascii="宋体" w:eastAsia="宋体" w:hAnsi="宋体" w:cs="宋体"/>
                <w:kern w:val="0"/>
                <w:sz w:val="24"/>
                <w:szCs w:val="24"/>
              </w:rPr>
              <w:t>elaboration of ideas or connection of ideas that could have been stronger.</w:t>
            </w:r>
          </w:p>
        </w:tc>
      </w:tr>
    </w:tbl>
    <w:p w:rsidR="00412081" w:rsidRPr="0080050C" w:rsidRDefault="00412081"/>
    <w:sectPr w:rsidR="00412081" w:rsidRPr="00800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26D6"/>
    <w:multiLevelType w:val="multilevel"/>
    <w:tmpl w:val="33D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A3CCA"/>
    <w:multiLevelType w:val="multilevel"/>
    <w:tmpl w:val="7F40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52F3E"/>
    <w:multiLevelType w:val="multilevel"/>
    <w:tmpl w:val="1822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261CE"/>
    <w:multiLevelType w:val="multilevel"/>
    <w:tmpl w:val="D9D4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0C"/>
    <w:rsid w:val="00412081"/>
    <w:rsid w:val="0080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EFB8F-E7ED-437C-86D3-67712615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005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0050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0050C"/>
    <w:rPr>
      <w:b/>
      <w:bCs/>
    </w:rPr>
  </w:style>
  <w:style w:type="character" w:styleId="a4">
    <w:name w:val="Hyperlink"/>
    <w:basedOn w:val="a0"/>
    <w:uiPriority w:val="99"/>
    <w:semiHidden/>
    <w:unhideWhenUsed/>
    <w:rsid w:val="0080050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005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82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82100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9792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7190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8451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09048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8953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7615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6013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5898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0029427">
              <w:marLeft w:val="8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2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92739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73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00246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41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98645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8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efl.neea.cn/myHome/8370478/scoreReport/show?neeaAppId=53128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安志</dc:creator>
  <cp:keywords/>
  <dc:description/>
  <cp:lastModifiedBy>翁 安志</cp:lastModifiedBy>
  <cp:revision>1</cp:revision>
  <dcterms:created xsi:type="dcterms:W3CDTF">2019-03-22T14:37:00Z</dcterms:created>
  <dcterms:modified xsi:type="dcterms:W3CDTF">2019-03-22T14:37:00Z</dcterms:modified>
</cp:coreProperties>
</file>