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8: Colecciones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desea guardar los nombres de los departamentos, para esto   puede usar una colección.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802.6771653543307" w:tblpY="0"/>
        <w:tblW w:w="6580.0" w:type="dxa"/>
        <w:jc w:val="left"/>
        <w:tblInd w:w="-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9"/>
        <w:gridCol w:w="5291"/>
        <w:tblGridChange w:id="0">
          <w:tblGrid>
            <w:gridCol w:w="1289"/>
            <w:gridCol w:w="529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Europa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shipping, sales, finances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America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sales, finances, shipping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finances, payroll, shipping, sales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tipo colección llamado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colec_tipo_nombres_dept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tendrá como máximo grupos de 7 valores y además serán de máximo 30 caracteres.</w:t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la tabla departementos con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Region varchar(25)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Nombres_dept  de tipo  coleccion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los datos que aparecen en la tabla anterior.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todos los departamentos.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bloque PL en el que declararemos una variable de tipo colección y le asignaremos los siguientes valores a la colección (benefits, advertising, contracting, executive, marketing)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Actualizará los departamentos de la región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Europa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los inicializados anteriormente.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Recorre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colección para visualizar todos los nombres de los departamentos de la región de Europa.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una salida como la siguiente: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otro bloque PL para visualizar la región y sus departamentos para todas las regiones ( necesitarás un cursor) con una salida como la siguiente:</w:t>
      </w:r>
    </w:p>
    <w:p w:rsidR="00000000" w:rsidDel="00000000" w:rsidP="00000000" w:rsidRDefault="00000000" w:rsidRPr="00000000" w14:paraId="0000002F">
      <w:pPr>
        <w:spacing w:after="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667125" cy="2533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hanging="28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dNqSpKab1hobfxn7qG7Lv+ocg==">CgMxLjA4AHIhMWYzb3NZQnh3ZW4yT19NaEpQRzFNc3Rrb1hOZTFJbUxq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