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rtl w:val="0"/>
        </w:rPr>
        <w:t xml:space="preserve">PRÁCTICA 8: TEÓRICO-PRÁCTICA</w:t>
      </w:r>
    </w:p>
    <w:p w:rsidR="00000000" w:rsidDel="00000000" w:rsidP="00000000" w:rsidRDefault="00000000" w:rsidRPr="00000000" w14:paraId="00000002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Prueba las sentencias de actualización de eXist de teoría.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Insertar una zona en zonas.xml en la última posición.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Insertar una cuenta en el documento sucursales.xml del tipo PENSIONES a la sucursal SUC1.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 la etiqueta director de la zona 50 y su contenido, en el documento zonas.xml por directora.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 el nodo completo DEP_ROW del departamento 10, por los nuevos datos y las etiquetas que escribamos.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 el apellido del empleado 7369 del documento empleados.xml por Alberto Montes Ramos.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 el atributo tipo de la primera cuenta de la sucursal SUC3 por NUEVOTIPO, del documento sucursales.xml.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 el salario de los empleados del departamento 10, del documento empleados.xml, subirles 200.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Elimina la zona con código 50, en el documento zonas.xml.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hanging="283.46456692913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Cambia de nombre el nodo EMP_ROW del documento empleados.xml.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.3228346456694" w:right="1145.669291338583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hanging="283.46456692913375"/>
      </w:pPr>
      <w:rPr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i6MHhahyzaMzlHhfxmOH5fN5vw==">CgMxLjA4AHIhMTNmMkxnaUdNU3JBVnZkblJfVlNuWkcyZTZzaDVfMHRU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