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9A3412"/>
          <w:sz w:val="18"/>
          <w:szCs w:val="18"/>
        </w:rPr>
        <w:t xml:space="preserve">FICTIONAL SAMPLE — FOR SOFTWARE TESTING ONLY</w:t>
      </w:r>
    </w:p>
    <w:p>
      <w:pPr>
        <w:pStyle w:val="Title"/>
      </w:pPr>
      <w:r>
        <w:t xml:space="preserve">Software License and Support Agreement</w:t>
      </w:r>
    </w:p>
    <w:p>
      <w:pPr>
        <w:spacing w:after="160"/>
      </w:pPr>
      <w:r>
        <w:rPr>
          <w:i/>
          <w:iCs/>
          <w:color w:val="555555"/>
        </w:rPr>
        <w:t xml:space="preserve">Sample vendor agreement for Invoice Management System RAG ingestion and retrieval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100"/>
        <w:gridCol w:w="2160"/>
      </w:tblGrid>
      <w:tr>
        <w:tc>
          <w:tcPr>
            <w:tcW w:type="dxa" w:w="1800"/>
            <w:tcBorders>
              <w:top w:val="single" w:color="BBBBBB" w:sz="4"/>
              <w:left w:val="single" w:color="BBBBBB" w:sz="4"/>
              <w:bottom w:val="single" w:color="BBBBBB" w:sz="4"/>
              <w:right w:val="single" w:color="BBBBBB" w:sz="4"/>
            </w:tcBorders>
            <w:shd w:fill="EEF2F7" w:color="auto" w:val="clear"/>
            <w:tcMar>
              <w:top w:type="dxa" w:w="60"/>
              <w:left w:type="dxa" w:w="100"/>
              <w:bottom w:type="dxa" w:w="60"/>
              <w:right w:type="dxa" w:w="100"/>
            </w:tcMar>
          </w:tcPr>
          <w:p>
            <w:r>
              <w:rPr>
                <w:b/>
                <w:bCs/>
              </w:rPr>
              <w:t xml:space="preserve">Vendor ID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VEND007</w:t>
            </w:r>
          </w:p>
        </w:tc>
        <w:tc>
          <w:tcPr>
            <w:tcW w:type="dxa" w:w="2100"/>
            <w:tcBorders>
              <w:top w:val="single" w:color="BBBBBB" w:sz="4"/>
              <w:left w:val="single" w:color="BBBBBB" w:sz="4"/>
              <w:bottom w:val="single" w:color="BBBBBB" w:sz="4"/>
              <w:right w:val="single" w:color="BBBBBB" w:sz="4"/>
            </w:tcBorders>
            <w:shd w:fill="EEF2F7" w:color="auto" w:val="clear"/>
            <w:tcMar>
              <w:top w:type="dxa" w:w="60"/>
              <w:left w:type="dxa" w:w="100"/>
              <w:bottom w:type="dxa" w:w="60"/>
              <w:right w:type="dxa" w:w="100"/>
            </w:tcMar>
          </w:tcPr>
          <w:p>
            <w:r>
              <w:rPr>
                <w:b/>
                <w:bCs/>
              </w:rPr>
              <w:t xml:space="preserve">Effective date</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2026-06-01</w:t>
            </w:r>
          </w:p>
        </w:tc>
      </w:tr>
      <w:tr>
        <w:tc>
          <w:tcPr>
            <w:tcW w:type="dxa" w:w="1800"/>
            <w:tcBorders>
              <w:top w:val="single" w:color="BBBBBB" w:sz="4"/>
              <w:left w:val="single" w:color="BBBBBB" w:sz="4"/>
              <w:bottom w:val="single" w:color="BBBBBB" w:sz="4"/>
              <w:right w:val="single" w:color="BBBBBB" w:sz="4"/>
            </w:tcBorders>
            <w:shd w:fill="EEF2F7" w:color="auto" w:val="clear"/>
            <w:tcMar>
              <w:top w:type="dxa" w:w="60"/>
              <w:left w:type="dxa" w:w="100"/>
              <w:bottom w:type="dxa" w:w="60"/>
              <w:right w:type="dxa" w:w="100"/>
            </w:tcMar>
          </w:tcPr>
          <w:p>
            <w:r>
              <w:rPr>
                <w:b/>
                <w:bCs/>
              </w:rPr>
              <w:t xml:space="preserve">Vendor name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Redwood Software Licensing Inc.</w:t>
            </w:r>
          </w:p>
        </w:tc>
        <w:tc>
          <w:tcPr>
            <w:tcW w:type="dxa" w:w="2100"/>
            <w:tcBorders>
              <w:top w:val="single" w:color="BBBBBB" w:sz="4"/>
              <w:left w:val="single" w:color="BBBBBB" w:sz="4"/>
              <w:bottom w:val="single" w:color="BBBBBB" w:sz="4"/>
              <w:right w:val="single" w:color="BBBBBB" w:sz="4"/>
            </w:tcBorders>
            <w:shd w:fill="EEF2F7" w:color="auto" w:val="clear"/>
            <w:tcMar>
              <w:top w:type="dxa" w:w="60"/>
              <w:left w:type="dxa" w:w="100"/>
              <w:bottom w:type="dxa" w:w="60"/>
              <w:right w:type="dxa" w:w="100"/>
            </w:tcMar>
          </w:tcPr>
          <w:p>
            <w:r>
              <w:rPr>
                <w:b/>
                <w:bCs/>
              </w:rPr>
              <w:t xml:space="preserve">Agreement term ends</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2027-05-31</w:t>
            </w:r>
          </w:p>
        </w:tc>
      </w:tr>
    </w:tbl>
    <w:p>
      <w:pPr>
        <w:spacing w:after="160"/>
      </w:pPr>
    </w:p>
    <w:p>
      <w:pPr>
        <w:pStyle w:val="Heading2"/>
      </w:pPr>
      <w:r>
        <w:t xml:space="preserve">1. Parties and purpose</w:t>
      </w:r>
    </w:p>
    <w:p>
      <w:pPr>
        <w:spacing w:after="100"/>
      </w:pPr>
      <w:r>
        <w:t xml:space="preserve">This fictional agreement is entered into by the buyer operating the Invoice Management System (“Buyer”) and Redwood Software Licensing Inc. (“Supplier”), identified for this demonstration by vendor ID VEND007. Supplier grants Buyer a non-exclusive license to the software and support described in accepted purchase orders.</w:t>
      </w:r>
    </w:p>
    <w:p>
      <w:pPr>
        <w:pStyle w:val="Heading2"/>
      </w:pPr>
      <w:r>
        <w:t xml:space="preserve">2. Payment terms</w:t>
      </w:r>
    </w:p>
    <w:p>
      <w:pPr>
        <w:spacing w:after="100"/>
      </w:pPr>
      <w:r>
        <w:t xml:space="preserve">Net 60 days after invoice receipt. Annual license fees are invoiced once, at the start of each license year.</w:t>
      </w:r>
    </w:p>
    <w:p>
      <w:pPr>
        <w:pStyle w:val="Heading2"/>
      </w:pPr>
      <w:r>
        <w:t xml:space="preserve">3. Late payment</w:t>
      </w:r>
    </w:p>
    <w:p>
      <w:pPr>
        <w:spacing w:after="100"/>
      </w:pPr>
      <w:r>
        <w:t xml:space="preserve">Undisputed overdue invoices accrue interest at 0.5% per month, capped by applicable law.</w:t>
      </w:r>
    </w:p>
    <w:p>
      <w:pPr>
        <w:pStyle w:val="Heading2"/>
      </w:pPr>
      <w:r>
        <w:t xml:space="preserve">4. Delivery and performance</w:t>
      </w:r>
    </w:p>
    <w:p>
      <w:pPr>
        <w:spacing w:after="100"/>
      </w:pPr>
      <w:r>
        <w:t xml:space="preserve">License keys are delivered electronically within 2 business days of order acceptance. Severity-1 incidents receive a response within 30 minutes, and severity-2 incidents within 4 business hours.</w:t>
      </w:r>
    </w:p>
    <w:p>
      <w:pPr>
        <w:pStyle w:val="Heading2"/>
      </w:pPr>
      <w:r>
        <w:t xml:space="preserve">5. Pricing and changes</w:t>
      </w:r>
    </w:p>
    <w:p>
      <w:pPr>
        <w:spacing w:after="100"/>
      </w:pPr>
      <w:r>
        <w:t xml:space="preserve">Annual license and support fees may increase by no more than 3% per year, with at least 90 days written notice before renewal.</w:t>
      </w:r>
    </w:p>
    <w:p>
      <w:pPr>
        <w:pStyle w:val="Heading2"/>
      </w:pPr>
      <w:r>
        <w:t xml:space="preserve">6. Warranty and remedies</w:t>
      </w:r>
    </w:p>
    <w:p>
      <w:pPr>
        <w:spacing w:after="100"/>
      </w:pPr>
      <w:r>
        <w:t xml:space="preserve">Supplier warrants that the software will perform materially as documented for the license term and will correct reproducible defects or provide a workaround at no extra charge.</w:t>
      </w:r>
    </w:p>
    <w:p>
      <w:pPr>
        <w:pStyle w:val="Heading2"/>
      </w:pPr>
      <w:r>
        <w:t xml:space="preserve">7. Termination</w:t>
      </w:r>
    </w:p>
    <w:p>
      <w:pPr>
        <w:spacing w:after="100"/>
      </w:pPr>
      <w:r>
        <w:t xml:space="preserve">Either party may terminate for material breach not cured within 30 days after written notice. Buyer may terminate support for convenience with 90 days written notice.</w:t>
      </w:r>
    </w:p>
    <w:p>
      <w:pPr>
        <w:pStyle w:val="Heading2"/>
      </w:pPr>
      <w:r>
        <w:t xml:space="preserve">8. Records and additional requirements</w:t>
      </w:r>
    </w:p>
    <w:p>
      <w:pPr>
        <w:spacing w:after="100"/>
      </w:pPr>
      <w:r>
        <w:t xml:space="preserve">Supplier must notify Buyer of a confirmed security incident affecting Buyer data within 48 hours and must store Buyer data only in approved regions.</w:t>
      </w:r>
    </w:p>
    <w:p>
      <w:pPr>
        <w:pStyle w:val="Heading2"/>
      </w:pPr>
      <w:r>
        <w:t xml:space="preserve">9. Confidentiality and records</w:t>
      </w:r>
    </w:p>
    <w:p>
      <w:pPr>
        <w:spacing w:after="100"/>
      </w:pPr>
      <w:r>
        <w:t xml:space="preserve">Each party will use the other party’s non-public business information only as needed to perform this agreement and will take reasonable steps to protect it. Business records related to orders, deliveries, invoices, and claims will be retained in accordance with applicable law and the parties’ written policies.</w:t>
      </w:r>
    </w:p>
    <w:p>
      <w:pPr>
        <w:pStyle w:val="Heading2"/>
      </w:pPr>
      <w:r>
        <w:t xml:space="preserve">10. Governing law and entire agreement</w:t>
      </w:r>
    </w:p>
    <w:p>
      <w:pPr>
        <w:spacing w:after="100"/>
      </w:pPr>
      <w:r>
        <w:t xml:space="preserve">For this software demonstration only, the parties assume the laws of the state where Buyer’s principal office is located, without regard to conflict-of-law rules. Any amendment must be in writing and accepted by both parties. This clause is illustrative and is not legal advice.</w:t>
      </w:r>
    </w:p>
    <w:p>
      <w:pPr>
        <w:spacing w:after="120" w:before="240"/>
      </w:pPr>
      <w:r>
        <w:rPr>
          <w:i/>
          <w:iCs/>
          <w:color w:val="555555"/>
          <w:sz w:val="18"/>
          <w:szCs w:val="18"/>
        </w:rPr>
        <w:t xml:space="preserve">Demonstration notice: This document is entirely fictional and was generated solely to test Word (.docx) text extraction, vendor-level filtering, chunking, embeddings, and RAG question answering. It is not a legal contract and must not be used for a real procurement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b/>
                <w:bCs/>
              </w:rPr>
              <w:t xml:space="preserve">BUYER (sample)</w:t>
            </w:r>
          </w:p>
        </w:tc>
        <w:tc>
          <w:tcPr>
            <w:tcW w:type="dxa" w:w="4680"/>
            <w:tcBorders>
              <w:top w:val="none"/>
              <w:left w:val="none"/>
              <w:bottom w:val="none"/>
              <w:right w:val="none"/>
            </w:tcBorders>
          </w:tcPr>
          <w:p>
            <w:r>
              <w:rPr>
                <w:b/>
                <w:bCs/>
              </w:rPr>
              <w:t xml:space="preserve">SUPPLIER (sample)</w:t>
            </w:r>
          </w:p>
        </w:tc>
      </w:tr>
      <w:tr>
        <w:tc>
          <w:tcPr>
            <w:tcW w:type="dxa" w:w="4680"/>
            <w:tcBorders>
              <w:top w:val="none"/>
              <w:left w:val="none"/>
              <w:bottom w:val="none"/>
              <w:right w:val="none"/>
            </w:tcBorders>
          </w:tcPr>
          <w:p>
            <w:r>
              <w:rPr>
                <w:b w:val="false"/>
                <w:bCs w:val="false"/>
              </w:rPr>
              <w:t xml:space="preserve">Name: __________________________</w:t>
            </w:r>
          </w:p>
        </w:tc>
        <w:tc>
          <w:tcPr>
            <w:tcW w:type="dxa" w:w="4680"/>
            <w:tcBorders>
              <w:top w:val="none"/>
              <w:left w:val="none"/>
              <w:bottom w:val="none"/>
              <w:right w:val="none"/>
            </w:tcBorders>
          </w:tcPr>
          <w:p>
            <w:r>
              <w:rPr>
                <w:b w:val="false"/>
                <w:bCs w:val="false"/>
              </w:rPr>
              <w:t xml:space="preserve">Name: __________________________</w:t>
            </w:r>
          </w:p>
        </w:tc>
      </w:tr>
      <w:tr>
        <w:tc>
          <w:tcPr>
            <w:tcW w:type="dxa" w:w="4680"/>
            <w:tcBorders>
              <w:top w:val="none"/>
              <w:left w:val="none"/>
              <w:bottom w:val="none"/>
              <w:right w:val="none"/>
            </w:tcBorders>
          </w:tcPr>
          <w:p>
            <w:r>
              <w:rPr>
                <w:b w:val="false"/>
                <w:bCs w:val="false"/>
              </w:rPr>
              <w:t xml:space="preserve">Signature: ______________________</w:t>
            </w:r>
          </w:p>
        </w:tc>
        <w:tc>
          <w:tcPr>
            <w:tcW w:type="dxa" w:w="4680"/>
            <w:tcBorders>
              <w:top w:val="none"/>
              <w:left w:val="none"/>
              <w:bottom w:val="none"/>
              <w:right w:val="none"/>
            </w:tcBorders>
          </w:tcPr>
          <w:p>
            <w:r>
              <w:rPr>
                <w:b w:val="false"/>
                <w:bCs w:val="false"/>
              </w:rPr>
              <w:t xml:space="preserve">Signature: ______________________</w:t>
            </w:r>
          </w:p>
        </w:tc>
      </w:tr>
      <w:tr>
        <w:tc>
          <w:tcPr>
            <w:tcW w:type="dxa" w:w="4680"/>
            <w:tcBorders>
              <w:top w:val="none"/>
              <w:left w:val="none"/>
              <w:bottom w:val="none"/>
              <w:right w:val="none"/>
            </w:tcBorders>
          </w:tcPr>
          <w:p>
            <w:r>
              <w:rPr>
                <w:b w:val="false"/>
                <w:bCs w:val="false"/>
              </w:rPr>
              <w:t xml:space="preserve">Date: ___________________________</w:t>
            </w:r>
          </w:p>
        </w:tc>
        <w:tc>
          <w:tcPr>
            <w:tcW w:type="dxa" w:w="4680"/>
            <w:tcBorders>
              <w:top w:val="none"/>
              <w:left w:val="none"/>
              <w:bottom w:val="none"/>
              <w:right w:val="none"/>
            </w:tcBorders>
          </w:tcPr>
          <w:p>
            <w:r>
              <w:rPr>
                <w:b w:val="false"/>
                <w:bCs w:val="false"/>
              </w:rPr>
              <w:t xml:space="preserve">Date: ___________________________</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120"/>
    </w:pPr>
    <w:rPr>
      <w:rFonts w:ascii="Calibri" w:cs="Calibri" w:eastAsia="Calibri" w:hAnsi="Calibri"/>
      <w:b/>
      <w:bCs/>
      <w:color w:val="1F3A5F"/>
      <w:sz w:val="40"/>
      <w:szCs w:val="40"/>
    </w:rPr>
  </w:style>
  <w:style w:type="paragraph" w:styleId="Heading1">
    <w:name w:val="Heading 1"/>
    <w:basedOn w:val="Normal"/>
    <w:next w:val="Normal"/>
    <w:qFormat/>
    <w:pPr>
      <w:spacing w:after="80" w:before="2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2026-10-18T13:52:30.611Z</dcterms:created>
  <dcterms:modified xsi:type="dcterms:W3CDTF">2026-10-18T13:52:30.611Z</dcterms:modified>
</cp:coreProperties>
</file>

<file path=docProps/custom.xml><?xml version="1.0" encoding="utf-8"?>
<Properties xmlns="http://schemas.openxmlformats.org/officeDocument/2006/custom-properties" xmlns:vt="http://schemas.openxmlformats.org/officeDocument/2006/docPropsVTypes"/>
</file>