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1BC" w:rsidRPr="00F641BC" w:rsidRDefault="00F641BC" w:rsidP="00F641BC">
      <w:pPr>
        <w:pStyle w:val="NormalWeb"/>
        <w:jc w:val="center"/>
        <w:rPr>
          <w:sz w:val="21"/>
          <w:szCs w:val="21"/>
        </w:rPr>
      </w:pPr>
      <w:r w:rsidRPr="00F641BC">
        <w:rPr>
          <w:sz w:val="44"/>
          <w:szCs w:val="44"/>
        </w:rPr>
        <w:t>RISK AVERSION COEFFICIENT</w:t>
      </w:r>
      <w:r w:rsidRPr="00F641BC">
        <w:rPr>
          <w:sz w:val="44"/>
          <w:szCs w:val="44"/>
        </w:rPr>
        <w:br/>
        <w:t>&amp;</w:t>
      </w:r>
      <w:r w:rsidRPr="00F641BC">
        <w:rPr>
          <w:sz w:val="44"/>
          <w:szCs w:val="44"/>
        </w:rPr>
        <w:br/>
        <w:t>OPTIMAL CAPITAL ALLOCATION LINE</w:t>
      </w:r>
    </w:p>
    <w:p w:rsidR="00F641BC" w:rsidRDefault="00F641BC" w:rsidP="00F641BC">
      <w:pPr>
        <w:pStyle w:val="NormalWeb"/>
        <w:jc w:val="center"/>
        <w:rPr>
          <w:sz w:val="32"/>
          <w:szCs w:val="32"/>
        </w:rPr>
      </w:pPr>
    </w:p>
    <w:p w:rsidR="00F641BC" w:rsidRDefault="00F641BC" w:rsidP="00F641BC">
      <w:pPr>
        <w:pStyle w:val="NormalWeb"/>
        <w:jc w:val="center"/>
        <w:rPr>
          <w:sz w:val="32"/>
          <w:szCs w:val="32"/>
        </w:rPr>
      </w:pPr>
    </w:p>
    <w:p w:rsidR="00F641BC" w:rsidRPr="00F641BC" w:rsidRDefault="00F641BC" w:rsidP="00F641BC">
      <w:pPr>
        <w:pStyle w:val="NormalWeb"/>
        <w:jc w:val="center"/>
      </w:pPr>
      <w:r w:rsidRPr="00F641BC">
        <w:rPr>
          <w:sz w:val="32"/>
          <w:szCs w:val="32"/>
        </w:rPr>
        <w:t>Prepared for</w:t>
      </w:r>
    </w:p>
    <w:p w:rsidR="00F641BC" w:rsidRPr="00F641BC" w:rsidRDefault="00F641BC" w:rsidP="00F641BC">
      <w:pPr>
        <w:pStyle w:val="NormalWeb"/>
        <w:jc w:val="center"/>
      </w:pPr>
      <w:r w:rsidRPr="00F641BC">
        <w:rPr>
          <w:sz w:val="32"/>
          <w:szCs w:val="32"/>
        </w:rPr>
        <w:t xml:space="preserve">Ms. </w:t>
      </w:r>
      <w:proofErr w:type="spellStart"/>
      <w:r w:rsidRPr="00F641BC">
        <w:rPr>
          <w:sz w:val="32"/>
          <w:szCs w:val="32"/>
        </w:rPr>
        <w:t>Shakila</w:t>
      </w:r>
      <w:proofErr w:type="spellEnd"/>
      <w:r w:rsidRPr="00F641BC">
        <w:rPr>
          <w:sz w:val="32"/>
          <w:szCs w:val="32"/>
        </w:rPr>
        <w:t xml:space="preserve"> Yasmin</w:t>
      </w:r>
      <w:r w:rsidRPr="00F641BC">
        <w:rPr>
          <w:sz w:val="32"/>
          <w:szCs w:val="32"/>
        </w:rPr>
        <w:br/>
        <w:t>Associate Professor</w:t>
      </w:r>
      <w:r w:rsidRPr="00F641BC">
        <w:rPr>
          <w:sz w:val="32"/>
          <w:szCs w:val="32"/>
        </w:rPr>
        <w:br/>
        <w:t>Institute of Business Administration University of Dhaka</w:t>
      </w:r>
      <w:r w:rsidRPr="00F641BC">
        <w:rPr>
          <w:sz w:val="32"/>
          <w:szCs w:val="32"/>
        </w:rPr>
        <w:br/>
        <w:t>Course Instructor</w:t>
      </w:r>
      <w:r w:rsidRPr="00F641BC">
        <w:rPr>
          <w:sz w:val="32"/>
          <w:szCs w:val="32"/>
        </w:rPr>
        <w:br/>
        <w:t>Portfolio Management &amp; Investment Analysis</w:t>
      </w:r>
    </w:p>
    <w:p w:rsidR="00F641BC" w:rsidRDefault="00F641BC" w:rsidP="00F641BC">
      <w:pPr>
        <w:pStyle w:val="NormalWeb"/>
        <w:jc w:val="center"/>
        <w:rPr>
          <w:sz w:val="32"/>
          <w:szCs w:val="32"/>
        </w:rPr>
      </w:pPr>
    </w:p>
    <w:p w:rsidR="00F641BC" w:rsidRDefault="00F641BC" w:rsidP="00F641BC">
      <w:pPr>
        <w:pStyle w:val="NormalWeb"/>
        <w:jc w:val="center"/>
        <w:rPr>
          <w:sz w:val="32"/>
          <w:szCs w:val="32"/>
        </w:rPr>
      </w:pPr>
    </w:p>
    <w:p w:rsidR="00F641BC" w:rsidRPr="00F641BC" w:rsidRDefault="00F641BC" w:rsidP="00F641BC">
      <w:pPr>
        <w:pStyle w:val="NormalWeb"/>
        <w:jc w:val="center"/>
      </w:pPr>
      <w:r w:rsidRPr="00F641BC">
        <w:rPr>
          <w:sz w:val="32"/>
          <w:szCs w:val="32"/>
        </w:rPr>
        <w:t>Prepared by</w:t>
      </w:r>
    </w:p>
    <w:p w:rsidR="00F641BC" w:rsidRDefault="00F641BC" w:rsidP="00F641BC">
      <w:pPr>
        <w:pStyle w:val="NormalWeb"/>
        <w:jc w:val="center"/>
        <w:rPr>
          <w:sz w:val="32"/>
          <w:szCs w:val="32"/>
        </w:rPr>
      </w:pPr>
      <w:r>
        <w:rPr>
          <w:sz w:val="32"/>
          <w:szCs w:val="32"/>
        </w:rPr>
        <w:t>Abul Kalam Faruk</w:t>
      </w:r>
      <w:r w:rsidRPr="00F641BC">
        <w:rPr>
          <w:sz w:val="32"/>
          <w:szCs w:val="32"/>
        </w:rPr>
        <w:br/>
        <w:t xml:space="preserve">Roll: </w:t>
      </w:r>
      <w:r>
        <w:rPr>
          <w:sz w:val="32"/>
          <w:szCs w:val="32"/>
        </w:rPr>
        <w:t>42</w:t>
      </w:r>
      <w:r w:rsidRPr="00F641BC">
        <w:rPr>
          <w:sz w:val="32"/>
          <w:szCs w:val="32"/>
        </w:rPr>
        <w:t>, MBA 5</w:t>
      </w:r>
      <w:r w:rsidR="003B5A8D">
        <w:rPr>
          <w:sz w:val="32"/>
          <w:szCs w:val="32"/>
        </w:rPr>
        <w:t>9</w:t>
      </w:r>
      <w:bookmarkStart w:id="0" w:name="_GoBack"/>
      <w:bookmarkEnd w:id="0"/>
      <w:r w:rsidRPr="00F641BC">
        <w:rPr>
          <w:sz w:val="32"/>
          <w:szCs w:val="32"/>
        </w:rPr>
        <w:t xml:space="preserve">D </w:t>
      </w:r>
    </w:p>
    <w:p w:rsidR="00F641BC" w:rsidRDefault="00F641BC" w:rsidP="00F641BC">
      <w:pPr>
        <w:pStyle w:val="NormalWeb"/>
        <w:jc w:val="center"/>
        <w:rPr>
          <w:sz w:val="32"/>
          <w:szCs w:val="32"/>
        </w:rPr>
      </w:pPr>
    </w:p>
    <w:p w:rsidR="00F641BC" w:rsidRDefault="00F641BC" w:rsidP="00F641BC">
      <w:pPr>
        <w:pStyle w:val="NormalWeb"/>
        <w:jc w:val="center"/>
        <w:rPr>
          <w:sz w:val="32"/>
          <w:szCs w:val="32"/>
        </w:rPr>
      </w:pPr>
    </w:p>
    <w:p w:rsidR="00F641BC" w:rsidRDefault="00F641BC" w:rsidP="00F641BC">
      <w:pPr>
        <w:pStyle w:val="NormalWeb"/>
        <w:jc w:val="center"/>
        <w:rPr>
          <w:sz w:val="32"/>
          <w:szCs w:val="32"/>
        </w:rPr>
      </w:pPr>
      <w:r w:rsidRPr="00F641BC">
        <w:rPr>
          <w:sz w:val="32"/>
          <w:szCs w:val="32"/>
        </w:rPr>
        <w:t>Institute of Business Administration University of Dhaka</w:t>
      </w:r>
    </w:p>
    <w:p w:rsidR="00F641BC" w:rsidRPr="00F641BC" w:rsidRDefault="00F641BC" w:rsidP="00F641BC">
      <w:pPr>
        <w:pStyle w:val="NormalWeb"/>
        <w:jc w:val="center"/>
      </w:pPr>
      <w:r>
        <w:rPr>
          <w:sz w:val="32"/>
          <w:szCs w:val="32"/>
        </w:rPr>
        <w:t>29 September 2019</w:t>
      </w: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F641BC" w:rsidRDefault="00F641BC">
      <w:pPr>
        <w:rPr>
          <w:b/>
          <w:bCs/>
        </w:rPr>
      </w:pPr>
    </w:p>
    <w:p w:rsidR="00C445EE" w:rsidRPr="002A701B" w:rsidRDefault="00F13C13" w:rsidP="00F13C13">
      <w:pPr>
        <w:spacing w:line="360" w:lineRule="auto"/>
        <w:rPr>
          <w:b/>
          <w:bCs/>
        </w:rPr>
      </w:pPr>
      <w:r w:rsidRPr="002A701B">
        <w:rPr>
          <w:b/>
          <w:bCs/>
        </w:rPr>
        <w:lastRenderedPageBreak/>
        <w:t>Background</w:t>
      </w:r>
    </w:p>
    <w:p w:rsidR="00F13C13" w:rsidRPr="002A701B" w:rsidRDefault="00162E57" w:rsidP="00F13C13">
      <w:pPr>
        <w:spacing w:line="360" w:lineRule="auto"/>
      </w:pPr>
      <w:proofErr w:type="spellStart"/>
      <w:r w:rsidRPr="002A701B">
        <w:t>Mr</w:t>
      </w:r>
      <w:proofErr w:type="spellEnd"/>
      <w:r w:rsidRPr="002A701B">
        <w:t xml:space="preserve"> </w:t>
      </w:r>
      <w:proofErr w:type="spellStart"/>
      <w:r w:rsidRPr="002A701B">
        <w:t>Abdur</w:t>
      </w:r>
      <w:proofErr w:type="spellEnd"/>
      <w:r w:rsidRPr="002A701B">
        <w:t xml:space="preserve"> Rahman wants to create a diversified portfolio with two risky assets and risk free government T-Bills. He want</w:t>
      </w:r>
      <w:r w:rsidR="0040627F" w:rsidRPr="002A701B">
        <w:t>s</w:t>
      </w:r>
      <w:r w:rsidRPr="002A701B">
        <w:t xml:space="preserve"> to invest his BDT 3,00,000 </w:t>
      </w:r>
      <w:r w:rsidR="0040627F" w:rsidRPr="002A701B">
        <w:t xml:space="preserve">cash deposits </w:t>
      </w:r>
      <w:r w:rsidRPr="002A701B">
        <w:t>in the portfolio</w:t>
      </w:r>
      <w:r w:rsidR="0040627F" w:rsidRPr="002A701B">
        <w:t>. His investment horizon for this portfolio is 5 years.</w:t>
      </w:r>
      <w:r w:rsidRPr="002A701B">
        <w:t xml:space="preserve"> The Investment Policy Statement (IPS) shows the following requirements and constraints for the investor</w:t>
      </w:r>
      <w:r w:rsidR="0040627F" w:rsidRPr="002A701B">
        <w:t xml:space="preserve"> in the portfolio. </w:t>
      </w:r>
    </w:p>
    <w:p w:rsidR="0040627F" w:rsidRPr="002A701B" w:rsidRDefault="0040627F" w:rsidP="00F13C13">
      <w:pPr>
        <w:spacing w:line="360" w:lineRule="auto"/>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984"/>
      </w:tblGrid>
      <w:tr w:rsidR="0040627F" w:rsidRPr="002A701B" w:rsidTr="0040627F">
        <w:tc>
          <w:tcPr>
            <w:tcW w:w="4111" w:type="dxa"/>
          </w:tcPr>
          <w:p w:rsidR="0040627F" w:rsidRPr="002A701B" w:rsidRDefault="0040627F" w:rsidP="0040627F">
            <w:pPr>
              <w:spacing w:line="360" w:lineRule="auto"/>
            </w:pPr>
            <w:r w:rsidRPr="002A701B">
              <w:t>Investment Amount</w:t>
            </w:r>
          </w:p>
        </w:tc>
        <w:tc>
          <w:tcPr>
            <w:tcW w:w="1984" w:type="dxa"/>
          </w:tcPr>
          <w:p w:rsidR="0040627F" w:rsidRPr="002A701B" w:rsidRDefault="0040627F" w:rsidP="0040627F">
            <w:pPr>
              <w:spacing w:line="360" w:lineRule="auto"/>
              <w:jc w:val="right"/>
            </w:pPr>
            <w:r w:rsidRPr="002A701B">
              <w:t>3,00,000 Tk</w:t>
            </w:r>
          </w:p>
        </w:tc>
      </w:tr>
      <w:tr w:rsidR="0040627F" w:rsidRPr="002A701B" w:rsidTr="0040627F">
        <w:tc>
          <w:tcPr>
            <w:tcW w:w="4111" w:type="dxa"/>
          </w:tcPr>
          <w:p w:rsidR="0040627F" w:rsidRPr="002A701B" w:rsidRDefault="0040627F" w:rsidP="0040627F">
            <w:pPr>
              <w:spacing w:line="360" w:lineRule="auto"/>
            </w:pPr>
            <w:r w:rsidRPr="002A701B">
              <w:t>Investment Horizon</w:t>
            </w:r>
          </w:p>
        </w:tc>
        <w:tc>
          <w:tcPr>
            <w:tcW w:w="1984" w:type="dxa"/>
          </w:tcPr>
          <w:p w:rsidR="0040627F" w:rsidRPr="002A701B" w:rsidRDefault="0040627F" w:rsidP="0040627F">
            <w:pPr>
              <w:spacing w:line="360" w:lineRule="auto"/>
              <w:jc w:val="right"/>
            </w:pPr>
            <w:r w:rsidRPr="002A701B">
              <w:t>5 years</w:t>
            </w:r>
          </w:p>
        </w:tc>
      </w:tr>
      <w:tr w:rsidR="0040627F" w:rsidRPr="002A701B" w:rsidTr="0040627F">
        <w:tc>
          <w:tcPr>
            <w:tcW w:w="4111" w:type="dxa"/>
          </w:tcPr>
          <w:p w:rsidR="0040627F" w:rsidRPr="002A701B" w:rsidRDefault="0040627F" w:rsidP="0040627F">
            <w:pPr>
              <w:spacing w:line="360" w:lineRule="auto"/>
            </w:pPr>
            <w:r w:rsidRPr="002A701B">
              <w:t>Required Rate of Return of Investor</w:t>
            </w:r>
          </w:p>
        </w:tc>
        <w:tc>
          <w:tcPr>
            <w:tcW w:w="1984" w:type="dxa"/>
          </w:tcPr>
          <w:p w:rsidR="0040627F" w:rsidRPr="002A701B" w:rsidRDefault="0040627F" w:rsidP="0040627F">
            <w:pPr>
              <w:spacing w:line="360" w:lineRule="auto"/>
              <w:jc w:val="right"/>
            </w:pPr>
            <w:r w:rsidRPr="002A701B">
              <w:t>16</w:t>
            </w:r>
            <w:r w:rsidR="00821F5E" w:rsidRPr="002A701B">
              <w:t>.23</w:t>
            </w:r>
            <w:r w:rsidRPr="002A701B">
              <w:t>%</w:t>
            </w:r>
          </w:p>
        </w:tc>
      </w:tr>
      <w:tr w:rsidR="0040627F" w:rsidRPr="002A701B" w:rsidTr="0040627F">
        <w:tc>
          <w:tcPr>
            <w:tcW w:w="4111" w:type="dxa"/>
          </w:tcPr>
          <w:p w:rsidR="0040627F" w:rsidRPr="002A701B" w:rsidRDefault="0040627F" w:rsidP="0040627F">
            <w:pPr>
              <w:spacing w:line="360" w:lineRule="auto"/>
            </w:pPr>
            <w:r w:rsidRPr="002A701B">
              <w:t>Expected Rate of Return of the Portfolio</w:t>
            </w:r>
          </w:p>
        </w:tc>
        <w:tc>
          <w:tcPr>
            <w:tcW w:w="1984" w:type="dxa"/>
          </w:tcPr>
          <w:p w:rsidR="0040627F" w:rsidRPr="002A701B" w:rsidRDefault="00F641BC" w:rsidP="0040627F">
            <w:pPr>
              <w:spacing w:line="360" w:lineRule="auto"/>
              <w:jc w:val="right"/>
            </w:pPr>
            <w:r>
              <w:t>29%</w:t>
            </w:r>
          </w:p>
        </w:tc>
      </w:tr>
      <w:tr w:rsidR="00821F5E" w:rsidRPr="002A701B" w:rsidTr="0040627F">
        <w:tc>
          <w:tcPr>
            <w:tcW w:w="4111" w:type="dxa"/>
          </w:tcPr>
          <w:p w:rsidR="00821F5E" w:rsidRPr="002A701B" w:rsidRDefault="00821F5E" w:rsidP="0040627F">
            <w:pPr>
              <w:spacing w:line="360" w:lineRule="auto"/>
            </w:pPr>
            <w:r w:rsidRPr="002A701B">
              <w:t>Risk Free Rate</w:t>
            </w:r>
          </w:p>
        </w:tc>
        <w:tc>
          <w:tcPr>
            <w:tcW w:w="1984" w:type="dxa"/>
          </w:tcPr>
          <w:p w:rsidR="00821F5E" w:rsidRPr="002A701B" w:rsidRDefault="00821F5E" w:rsidP="0040627F">
            <w:pPr>
              <w:spacing w:line="360" w:lineRule="auto"/>
              <w:jc w:val="right"/>
            </w:pPr>
            <w:r w:rsidRPr="002A701B">
              <w:t>9.23%</w:t>
            </w:r>
          </w:p>
        </w:tc>
      </w:tr>
      <w:tr w:rsidR="00821F5E" w:rsidRPr="002A701B" w:rsidTr="0040627F">
        <w:tc>
          <w:tcPr>
            <w:tcW w:w="4111" w:type="dxa"/>
          </w:tcPr>
          <w:p w:rsidR="00821F5E" w:rsidRPr="002A701B" w:rsidRDefault="00821F5E" w:rsidP="0040627F">
            <w:pPr>
              <w:spacing w:line="360" w:lineRule="auto"/>
            </w:pPr>
            <w:r w:rsidRPr="002A701B">
              <w:t>Risk Aversion Co-efficient</w:t>
            </w:r>
          </w:p>
        </w:tc>
        <w:tc>
          <w:tcPr>
            <w:tcW w:w="1984" w:type="dxa"/>
          </w:tcPr>
          <w:p w:rsidR="00821F5E" w:rsidRPr="002A701B" w:rsidRDefault="000E6A30" w:rsidP="0040627F">
            <w:pPr>
              <w:spacing w:line="360" w:lineRule="auto"/>
              <w:jc w:val="right"/>
            </w:pPr>
            <w:r>
              <w:t>3.10</w:t>
            </w:r>
          </w:p>
        </w:tc>
      </w:tr>
      <w:tr w:rsidR="00821F5E" w:rsidRPr="002A701B" w:rsidTr="0040627F">
        <w:tc>
          <w:tcPr>
            <w:tcW w:w="4111" w:type="dxa"/>
          </w:tcPr>
          <w:p w:rsidR="00821F5E" w:rsidRPr="002A701B" w:rsidRDefault="00821F5E" w:rsidP="0040627F">
            <w:pPr>
              <w:spacing w:line="360" w:lineRule="auto"/>
            </w:pPr>
          </w:p>
        </w:tc>
        <w:tc>
          <w:tcPr>
            <w:tcW w:w="1984" w:type="dxa"/>
          </w:tcPr>
          <w:p w:rsidR="00821F5E" w:rsidRPr="002A701B" w:rsidRDefault="00821F5E" w:rsidP="0040627F">
            <w:pPr>
              <w:spacing w:line="360" w:lineRule="auto"/>
              <w:jc w:val="right"/>
            </w:pPr>
          </w:p>
        </w:tc>
      </w:tr>
    </w:tbl>
    <w:p w:rsidR="00162E57" w:rsidRPr="002A701B" w:rsidRDefault="00162E57" w:rsidP="00F13C13">
      <w:pPr>
        <w:spacing w:line="360" w:lineRule="auto"/>
      </w:pPr>
    </w:p>
    <w:p w:rsidR="00821F5E" w:rsidRPr="002A701B" w:rsidRDefault="00821F5E" w:rsidP="00F13C13">
      <w:pPr>
        <w:spacing w:line="360" w:lineRule="auto"/>
        <w:rPr>
          <w:b/>
          <w:bCs/>
        </w:rPr>
      </w:pPr>
      <w:r w:rsidRPr="002A701B">
        <w:rPr>
          <w:b/>
          <w:bCs/>
        </w:rPr>
        <w:t>Risk Free Rate</w:t>
      </w:r>
    </w:p>
    <w:p w:rsidR="0077305E" w:rsidRPr="002A701B" w:rsidRDefault="0077305E" w:rsidP="00F13C13">
      <w:pPr>
        <w:spacing w:line="360" w:lineRule="auto"/>
      </w:pPr>
      <w:r w:rsidRPr="002A701B">
        <w:t xml:space="preserve">Bangladesh Bank’s latest auction data shows the yield of 5 years T-Bonds to be 9.23% (Appendix A). We have taken the risk free rate of 9.23% for calculating risk premiums in our portfolio. </w:t>
      </w:r>
    </w:p>
    <w:p w:rsidR="00821F5E" w:rsidRPr="002A701B" w:rsidRDefault="00821F5E" w:rsidP="00F13C13">
      <w:pPr>
        <w:spacing w:line="360" w:lineRule="auto"/>
      </w:pPr>
    </w:p>
    <w:p w:rsidR="006670BC" w:rsidRPr="002A701B" w:rsidRDefault="006670BC" w:rsidP="00F13C13">
      <w:pPr>
        <w:spacing w:line="360" w:lineRule="auto"/>
        <w:rPr>
          <w:b/>
          <w:bCs/>
        </w:rPr>
      </w:pPr>
      <w:r w:rsidRPr="002A701B">
        <w:rPr>
          <w:b/>
          <w:bCs/>
        </w:rPr>
        <w:t xml:space="preserve">Risk Aversion Co-efficient </w:t>
      </w:r>
      <w:r w:rsidR="007B45AA" w:rsidRPr="002A701B">
        <w:rPr>
          <w:b/>
          <w:bCs/>
        </w:rPr>
        <w:t>(A)</w:t>
      </w:r>
    </w:p>
    <w:p w:rsidR="007B45AA" w:rsidRPr="002A701B" w:rsidRDefault="007B45AA" w:rsidP="00F13C13">
      <w:pPr>
        <w:spacing w:line="360" w:lineRule="auto"/>
      </w:pPr>
      <w:r w:rsidRPr="002A701B">
        <w:t>Investors willingness to take risk is an important factor to consider when determining the portfolio for the investor. Mathematically it is determined by Risk Aversion Co-efficient (A). Which is calculated from the following formula:</w:t>
      </w:r>
    </w:p>
    <w:p w:rsidR="007B45AA" w:rsidRPr="002A701B" w:rsidRDefault="007B45AA" w:rsidP="00F13C13">
      <w:pPr>
        <w:spacing w:line="360" w:lineRule="auto"/>
        <w:rPr>
          <w:rFonts w:eastAsiaTheme="minorEastAsia"/>
        </w:rPr>
      </w:pPr>
      <m:oMathPara>
        <m:oMath>
          <m:r>
            <w:rPr>
              <w:rFonts w:ascii="Cambria Math" w:hAnsi="Cambria Math"/>
            </w:rPr>
            <m:t xml:space="preserve">A= </m:t>
          </m:r>
          <m:f>
            <m:fPr>
              <m:ctrlPr>
                <w:rPr>
                  <w:rFonts w:ascii="Cambria Math" w:eastAsiaTheme="minorHAnsi" w:hAnsi="Cambria Math"/>
                  <w:i/>
                  <w:szCs w:val="30"/>
                  <w:lang w:eastAsia="en-US"/>
                </w:rPr>
              </m:ctrlPr>
            </m:fPr>
            <m:num>
              <m:r>
                <w:rPr>
                  <w:rFonts w:ascii="Cambria Math" w:hAnsi="Cambria Math"/>
                </w:rPr>
                <m:t>E</m:t>
              </m:r>
              <m:d>
                <m:dPr>
                  <m:ctrlPr>
                    <w:rPr>
                      <w:rFonts w:ascii="Cambria Math" w:hAnsi="Cambria Math"/>
                      <w:i/>
                    </w:rPr>
                  </m:ctrlPr>
                </m:dPr>
                <m:e>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Q</m:t>
                      </m:r>
                    </m:sub>
                  </m:sSub>
                </m:e>
              </m:d>
              <m:r>
                <w:rPr>
                  <w:rFonts w:ascii="Cambria Math" w:hAnsi="Cambria Math"/>
                </w:rPr>
                <m:t xml:space="preserve">- </m:t>
              </m:r>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f</m:t>
                  </m:r>
                </m:sub>
              </m:sSub>
            </m:num>
            <m:den>
              <m:sSup>
                <m:sSupPr>
                  <m:ctrlPr>
                    <w:rPr>
                      <w:rFonts w:ascii="Cambria Math" w:eastAsiaTheme="minorHAnsi" w:hAnsi="Cambria Math"/>
                      <w:i/>
                      <w:szCs w:val="30"/>
                      <w:lang w:eastAsia="en-US"/>
                    </w:rPr>
                  </m:ctrlPr>
                </m:sSupPr>
                <m:e>
                  <m:r>
                    <w:rPr>
                      <w:rFonts w:ascii="Cambria Math" w:hAnsi="Cambria Math"/>
                    </w:rPr>
                    <m:t>σ</m:t>
                  </m:r>
                </m:e>
                <m:sup>
                  <m:r>
                    <w:rPr>
                      <w:rFonts w:ascii="Cambria Math" w:hAnsi="Cambria Math"/>
                    </w:rPr>
                    <m:t>2</m:t>
                  </m:r>
                </m:sup>
              </m:sSup>
            </m:den>
          </m:f>
        </m:oMath>
      </m:oMathPara>
    </w:p>
    <w:p w:rsidR="007B45AA" w:rsidRPr="002A701B" w:rsidRDefault="007B45AA" w:rsidP="00F13C13">
      <w:pPr>
        <w:spacing w:line="360" w:lineRule="auto"/>
        <w:rPr>
          <w:rFonts w:eastAsiaTheme="minorEastAsia"/>
        </w:rPr>
      </w:pPr>
      <w:r w:rsidRPr="002A701B">
        <w:rPr>
          <w:rFonts w:eastAsiaTheme="minorEastAsia"/>
        </w:rPr>
        <w:t xml:space="preserve">Here, </w:t>
      </w:r>
    </w:p>
    <w:p w:rsidR="007B45AA" w:rsidRPr="002A701B" w:rsidRDefault="007B45AA" w:rsidP="00F13C13">
      <w:pPr>
        <w:spacing w:line="360" w:lineRule="auto"/>
        <w:rPr>
          <w:rFonts w:eastAsiaTheme="minorEastAsia"/>
        </w:rPr>
      </w:pPr>
      <m:oMath>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f</m:t>
            </m:r>
          </m:sub>
        </m:sSub>
      </m:oMath>
      <w:r w:rsidRPr="002A701B">
        <w:rPr>
          <w:rFonts w:eastAsiaTheme="minorEastAsia"/>
        </w:rPr>
        <w:t xml:space="preserve">  =  Ri</w:t>
      </w:r>
      <w:proofErr w:type="spellStart"/>
      <w:r w:rsidRPr="002A701B">
        <w:rPr>
          <w:rFonts w:eastAsiaTheme="minorEastAsia"/>
        </w:rPr>
        <w:t>sk</w:t>
      </w:r>
      <w:proofErr w:type="spellEnd"/>
      <w:r w:rsidRPr="002A701B">
        <w:rPr>
          <w:rFonts w:eastAsiaTheme="minorEastAsia"/>
        </w:rPr>
        <w:t xml:space="preserve"> Free Rate</w:t>
      </w:r>
    </w:p>
    <w:p w:rsidR="007B45AA" w:rsidRPr="002A701B" w:rsidRDefault="007B45AA" w:rsidP="00F13C13">
      <w:pPr>
        <w:spacing w:line="360" w:lineRule="auto"/>
        <w:rPr>
          <w:rFonts w:eastAsiaTheme="minorEastAsia"/>
        </w:rPr>
      </w:pPr>
      <m:oMath>
        <m:r>
          <w:rPr>
            <w:rFonts w:ascii="Cambria Math" w:hAnsi="Cambria Math"/>
          </w:rPr>
          <m:t>E</m:t>
        </m:r>
        <m:d>
          <m:dPr>
            <m:ctrlPr>
              <w:rPr>
                <w:rFonts w:ascii="Cambria Math" w:hAnsi="Cambria Math"/>
                <w:i/>
              </w:rPr>
            </m:ctrlPr>
          </m:dPr>
          <m:e>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Q</m:t>
                </m:r>
              </m:sub>
            </m:sSub>
          </m:e>
        </m:d>
      </m:oMath>
      <w:r w:rsidRPr="002A701B">
        <w:rPr>
          <w:rFonts w:eastAsiaTheme="minorEastAsia"/>
        </w:rPr>
        <w:t xml:space="preserve"> = Expected Return</w:t>
      </w:r>
    </w:p>
    <w:p w:rsidR="007B45AA" w:rsidRPr="002A701B" w:rsidRDefault="007B45AA" w:rsidP="00F13C13">
      <w:pPr>
        <w:spacing w:line="360" w:lineRule="auto"/>
        <w:rPr>
          <w:rFonts w:eastAsiaTheme="minorEastAsia"/>
        </w:rPr>
      </w:pPr>
      <m:oMath>
        <m:r>
          <w:rPr>
            <w:rFonts w:ascii="Cambria Math" w:hAnsi="Cambria Math"/>
          </w:rPr>
          <m:t>σ</m:t>
        </m:r>
      </m:oMath>
      <w:r w:rsidRPr="002A701B">
        <w:rPr>
          <w:rFonts w:eastAsiaTheme="minorEastAsia"/>
        </w:rPr>
        <w:t xml:space="preserve"> = Standard De</w:t>
      </w:r>
      <w:proofErr w:type="spellStart"/>
      <w:r w:rsidRPr="002A701B">
        <w:rPr>
          <w:rFonts w:eastAsiaTheme="minorEastAsia"/>
        </w:rPr>
        <w:t>viation</w:t>
      </w:r>
      <w:proofErr w:type="spellEnd"/>
      <w:r w:rsidRPr="002A701B">
        <w:rPr>
          <w:rFonts w:eastAsiaTheme="minorEastAsia"/>
        </w:rPr>
        <w:t xml:space="preserve"> of the Portfolio</w:t>
      </w:r>
    </w:p>
    <w:p w:rsidR="007B45AA" w:rsidRPr="002A701B" w:rsidRDefault="007B45AA" w:rsidP="00F13C13">
      <w:pPr>
        <w:spacing w:line="360" w:lineRule="auto"/>
        <w:rPr>
          <w:rFonts w:eastAsiaTheme="minorEastAsia"/>
        </w:rPr>
      </w:pPr>
      <m:oMath>
        <m:r>
          <w:rPr>
            <w:rFonts w:ascii="Cambria Math" w:hAnsi="Cambria Math"/>
          </w:rPr>
          <m:t>E</m:t>
        </m:r>
        <m:d>
          <m:dPr>
            <m:ctrlPr>
              <w:rPr>
                <w:rFonts w:ascii="Cambria Math" w:hAnsi="Cambria Math"/>
                <w:i/>
              </w:rPr>
            </m:ctrlPr>
          </m:dPr>
          <m:e>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Q</m:t>
                </m:r>
              </m:sub>
            </m:sSub>
          </m:e>
        </m:d>
        <m:r>
          <w:rPr>
            <w:rFonts w:ascii="Cambria Math" w:hAnsi="Cambria Math"/>
          </w:rPr>
          <m:t xml:space="preserve">- </m:t>
        </m:r>
        <m:sSub>
          <m:sSubPr>
            <m:ctrlPr>
              <w:rPr>
                <w:rFonts w:ascii="Cambria Math" w:eastAsiaTheme="minorHAnsi" w:hAnsi="Cambria Math"/>
                <w:i/>
                <w:szCs w:val="30"/>
                <w:lang w:eastAsia="en-US"/>
              </w:rPr>
            </m:ctrlPr>
          </m:sSubPr>
          <m:e>
            <m:r>
              <w:rPr>
                <w:rFonts w:ascii="Cambria Math" w:hAnsi="Cambria Math"/>
              </w:rPr>
              <m:t>r</m:t>
            </m:r>
          </m:e>
          <m:sub>
            <m:r>
              <w:rPr>
                <w:rFonts w:ascii="Cambria Math" w:hAnsi="Cambria Math"/>
              </w:rPr>
              <m:t>f</m:t>
            </m:r>
          </m:sub>
        </m:sSub>
      </m:oMath>
      <w:r w:rsidRPr="002A701B">
        <w:rPr>
          <w:rFonts w:eastAsiaTheme="minorEastAsia"/>
        </w:rPr>
        <w:t xml:space="preserve"> =  Risk Premium</w:t>
      </w:r>
    </w:p>
    <w:p w:rsidR="007B45AA" w:rsidRPr="002A701B" w:rsidRDefault="007B45AA" w:rsidP="00F13C13">
      <w:pPr>
        <w:spacing w:line="360" w:lineRule="auto"/>
        <w:rPr>
          <w:rFonts w:eastAsiaTheme="minorEastAsia"/>
        </w:rPr>
      </w:pPr>
    </w:p>
    <w:p w:rsidR="007B45AA" w:rsidRPr="002A701B" w:rsidRDefault="007B45AA" w:rsidP="00F13C13">
      <w:pPr>
        <w:spacing w:line="360" w:lineRule="auto"/>
        <w:rPr>
          <w:rFonts w:eastAsiaTheme="minorEastAsia"/>
        </w:rPr>
      </w:pPr>
      <w:r w:rsidRPr="002A701B">
        <w:rPr>
          <w:rFonts w:eastAsiaTheme="minorEastAsia"/>
        </w:rPr>
        <w:lastRenderedPageBreak/>
        <w:t xml:space="preserve">Investor was given a multiple sets of risk return choices (Appendix B). Chosen risk premiums were used to calculate A. The average 3.09 was taken as the investors Risk Aversion Co-efficient (A). </w:t>
      </w:r>
    </w:p>
    <w:tbl>
      <w:tblPr>
        <w:tblW w:w="5980" w:type="dxa"/>
        <w:jc w:val="center"/>
        <w:tblLook w:val="04A0" w:firstRow="1" w:lastRow="0" w:firstColumn="1" w:lastColumn="0" w:noHBand="0" w:noVBand="1"/>
      </w:tblPr>
      <w:tblGrid>
        <w:gridCol w:w="1520"/>
        <w:gridCol w:w="1176"/>
        <w:gridCol w:w="1780"/>
        <w:gridCol w:w="1600"/>
      </w:tblGrid>
      <w:tr w:rsidR="00117290" w:rsidRPr="002A701B" w:rsidTr="00117290">
        <w:trPr>
          <w:trHeight w:val="740"/>
          <w:jc w:val="center"/>
        </w:trPr>
        <w:tc>
          <w:tcPr>
            <w:tcW w:w="1520" w:type="dxa"/>
            <w:tcBorders>
              <w:top w:val="single" w:sz="4" w:space="0" w:color="auto"/>
              <w:left w:val="single" w:sz="4" w:space="0" w:color="auto"/>
              <w:bottom w:val="single" w:sz="4" w:space="0" w:color="auto"/>
              <w:right w:val="single" w:sz="4" w:space="0" w:color="auto"/>
            </w:tcBorders>
            <w:shd w:val="clear" w:color="000000" w:fill="F2F2F2"/>
            <w:noWrap/>
            <w:hideMark/>
          </w:tcPr>
          <w:p w:rsidR="00117290" w:rsidRPr="002A701B" w:rsidRDefault="00117290">
            <w:pPr>
              <w:rPr>
                <w:b/>
                <w:bCs/>
                <w:color w:val="000000"/>
              </w:rPr>
            </w:pPr>
            <w:r w:rsidRPr="002A701B">
              <w:rPr>
                <w:b/>
                <w:bCs/>
                <w:color w:val="000000"/>
              </w:rPr>
              <w:t>Picked Cards</w:t>
            </w:r>
          </w:p>
        </w:tc>
        <w:tc>
          <w:tcPr>
            <w:tcW w:w="1080" w:type="dxa"/>
            <w:tcBorders>
              <w:top w:val="single" w:sz="4" w:space="0" w:color="auto"/>
              <w:left w:val="nil"/>
              <w:bottom w:val="single" w:sz="4" w:space="0" w:color="auto"/>
              <w:right w:val="single" w:sz="4" w:space="0" w:color="auto"/>
            </w:tcBorders>
            <w:shd w:val="clear" w:color="000000" w:fill="F2F2F2"/>
            <w:noWrap/>
            <w:hideMark/>
          </w:tcPr>
          <w:p w:rsidR="00117290" w:rsidRPr="002A701B" w:rsidRDefault="00117290">
            <w:pPr>
              <w:rPr>
                <w:b/>
                <w:bCs/>
                <w:color w:val="000000"/>
              </w:rPr>
            </w:pPr>
            <w:r w:rsidRPr="002A701B">
              <w:rPr>
                <w:b/>
                <w:bCs/>
                <w:color w:val="000000"/>
              </w:rPr>
              <w:t>Premium</w:t>
            </w:r>
          </w:p>
        </w:tc>
        <w:tc>
          <w:tcPr>
            <w:tcW w:w="1780" w:type="dxa"/>
            <w:tcBorders>
              <w:top w:val="single" w:sz="4" w:space="0" w:color="auto"/>
              <w:left w:val="nil"/>
              <w:bottom w:val="single" w:sz="4" w:space="0" w:color="auto"/>
              <w:right w:val="single" w:sz="4" w:space="0" w:color="auto"/>
            </w:tcBorders>
            <w:shd w:val="clear" w:color="000000" w:fill="F2F2F2"/>
            <w:noWrap/>
            <w:hideMark/>
          </w:tcPr>
          <w:p w:rsidR="00117290" w:rsidRPr="002A701B" w:rsidRDefault="00117290">
            <w:pPr>
              <w:rPr>
                <w:b/>
                <w:bCs/>
                <w:color w:val="000000"/>
              </w:rPr>
            </w:pPr>
            <w:r w:rsidRPr="002A701B">
              <w:rPr>
                <w:b/>
                <w:bCs/>
                <w:color w:val="000000"/>
              </w:rPr>
              <w:t>Associated Risk</w:t>
            </w:r>
          </w:p>
        </w:tc>
        <w:tc>
          <w:tcPr>
            <w:tcW w:w="1600" w:type="dxa"/>
            <w:tcBorders>
              <w:top w:val="single" w:sz="4" w:space="0" w:color="auto"/>
              <w:left w:val="nil"/>
              <w:bottom w:val="single" w:sz="4" w:space="0" w:color="auto"/>
              <w:right w:val="single" w:sz="4" w:space="0" w:color="auto"/>
            </w:tcBorders>
            <w:shd w:val="clear" w:color="000000" w:fill="F2F2F2"/>
            <w:hideMark/>
          </w:tcPr>
          <w:p w:rsidR="00117290" w:rsidRPr="002A701B" w:rsidRDefault="00117290">
            <w:pPr>
              <w:rPr>
                <w:b/>
                <w:bCs/>
                <w:color w:val="000000"/>
              </w:rPr>
            </w:pPr>
            <w:r w:rsidRPr="002A701B">
              <w:rPr>
                <w:b/>
                <w:bCs/>
                <w:color w:val="000000"/>
              </w:rPr>
              <w:t>Risk Aversion Co-efficient</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A</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10</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18</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3.09</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B</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14</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21</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3.17</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C</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22</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26</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3.25</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D</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25</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27</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3.43</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E</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38</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34</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3.29</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Portfolio F</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43</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43</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color w:val="000000"/>
              </w:rPr>
            </w:pPr>
            <w:r w:rsidRPr="002A701B">
              <w:rPr>
                <w:color w:val="000000"/>
              </w:rPr>
              <w:t>2.33</w:t>
            </w:r>
          </w:p>
        </w:tc>
      </w:tr>
      <w:tr w:rsidR="00117290" w:rsidRPr="002A701B" w:rsidTr="00117290">
        <w:trPr>
          <w:trHeight w:val="380"/>
          <w:jc w:val="center"/>
        </w:trPr>
        <w:tc>
          <w:tcPr>
            <w:tcW w:w="1520" w:type="dxa"/>
            <w:tcBorders>
              <w:top w:val="nil"/>
              <w:left w:val="single" w:sz="4" w:space="0" w:color="auto"/>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 </w:t>
            </w:r>
          </w:p>
        </w:tc>
        <w:tc>
          <w:tcPr>
            <w:tcW w:w="1080" w:type="dxa"/>
            <w:tcBorders>
              <w:top w:val="nil"/>
              <w:left w:val="nil"/>
              <w:bottom w:val="single" w:sz="4" w:space="0" w:color="auto"/>
              <w:right w:val="single" w:sz="4" w:space="0" w:color="auto"/>
            </w:tcBorders>
            <w:shd w:val="clear" w:color="auto" w:fill="auto"/>
            <w:noWrap/>
            <w:hideMark/>
          </w:tcPr>
          <w:p w:rsidR="00117290" w:rsidRPr="002A701B" w:rsidRDefault="00117290">
            <w:pPr>
              <w:rPr>
                <w:color w:val="000000"/>
              </w:rPr>
            </w:pPr>
            <w:r w:rsidRPr="002A701B">
              <w:rPr>
                <w:color w:val="000000"/>
              </w:rPr>
              <w:t> </w:t>
            </w:r>
          </w:p>
        </w:tc>
        <w:tc>
          <w:tcPr>
            <w:tcW w:w="1780" w:type="dxa"/>
            <w:tcBorders>
              <w:top w:val="nil"/>
              <w:left w:val="nil"/>
              <w:bottom w:val="single" w:sz="4" w:space="0" w:color="auto"/>
              <w:right w:val="single" w:sz="4" w:space="0" w:color="auto"/>
            </w:tcBorders>
            <w:shd w:val="clear" w:color="auto" w:fill="auto"/>
            <w:noWrap/>
            <w:hideMark/>
          </w:tcPr>
          <w:p w:rsidR="00117290" w:rsidRPr="002A701B" w:rsidRDefault="00117290">
            <w:pPr>
              <w:rPr>
                <w:b/>
                <w:bCs/>
                <w:color w:val="000000"/>
              </w:rPr>
            </w:pPr>
            <w:r w:rsidRPr="002A701B">
              <w:rPr>
                <w:b/>
                <w:bCs/>
                <w:color w:val="000000"/>
              </w:rPr>
              <w:t>Average</w:t>
            </w:r>
          </w:p>
        </w:tc>
        <w:tc>
          <w:tcPr>
            <w:tcW w:w="1600" w:type="dxa"/>
            <w:tcBorders>
              <w:top w:val="nil"/>
              <w:left w:val="nil"/>
              <w:bottom w:val="single" w:sz="4" w:space="0" w:color="auto"/>
              <w:right w:val="single" w:sz="4" w:space="0" w:color="auto"/>
            </w:tcBorders>
            <w:shd w:val="clear" w:color="auto" w:fill="auto"/>
            <w:noWrap/>
            <w:hideMark/>
          </w:tcPr>
          <w:p w:rsidR="00117290" w:rsidRPr="002A701B" w:rsidRDefault="00117290">
            <w:pPr>
              <w:jc w:val="right"/>
              <w:rPr>
                <w:b/>
                <w:bCs/>
                <w:color w:val="000000"/>
              </w:rPr>
            </w:pPr>
            <w:r w:rsidRPr="002A701B">
              <w:rPr>
                <w:b/>
                <w:bCs/>
                <w:color w:val="000000"/>
              </w:rPr>
              <w:t>3.</w:t>
            </w:r>
            <w:r w:rsidR="000E6A30">
              <w:rPr>
                <w:b/>
                <w:bCs/>
                <w:color w:val="000000"/>
              </w:rPr>
              <w:t>10</w:t>
            </w:r>
          </w:p>
        </w:tc>
      </w:tr>
    </w:tbl>
    <w:p w:rsidR="007B45AA" w:rsidRPr="002A701B" w:rsidRDefault="007B45AA" w:rsidP="00F13C13">
      <w:pPr>
        <w:spacing w:line="360" w:lineRule="auto"/>
      </w:pPr>
    </w:p>
    <w:p w:rsidR="00117290" w:rsidRPr="002A701B" w:rsidRDefault="00117290" w:rsidP="00F13C13">
      <w:pPr>
        <w:spacing w:line="360" w:lineRule="auto"/>
      </w:pPr>
    </w:p>
    <w:p w:rsidR="007B45AA" w:rsidRDefault="00C27581" w:rsidP="00F13C13">
      <w:pPr>
        <w:spacing w:line="360" w:lineRule="auto"/>
        <w:rPr>
          <w:b/>
          <w:bCs/>
        </w:rPr>
      </w:pPr>
      <w:r w:rsidRPr="00C27581">
        <w:rPr>
          <w:b/>
          <w:bCs/>
        </w:rPr>
        <w:t>Risky Assets Selection:</w:t>
      </w:r>
    </w:p>
    <w:p w:rsidR="00012DE4" w:rsidRDefault="00C27581" w:rsidP="00F13C13">
      <w:pPr>
        <w:spacing w:line="360" w:lineRule="auto"/>
      </w:pPr>
      <w:r>
        <w:t xml:space="preserve">Selection procedures involves taking historical </w:t>
      </w:r>
      <w:r w:rsidR="006D6338">
        <w:t>closing prices</w:t>
      </w:r>
      <w:r>
        <w:t xml:space="preserve"> of the </w:t>
      </w:r>
      <w:r w:rsidR="006D6338">
        <w:t xml:space="preserve">stocks trading in at least for five years and calculating annual return, annual standard deviation and </w:t>
      </w:r>
      <w:proofErr w:type="spellStart"/>
      <w:r w:rsidR="006D6338">
        <w:t>sharpe</w:t>
      </w:r>
      <w:proofErr w:type="spellEnd"/>
      <w:r w:rsidR="006D6338">
        <w:t xml:space="preserve"> ratio for each stock (Appendix C). Top 15 performing stocks chosen to calculate the correlation matrix (Appendix D). </w:t>
      </w:r>
      <w:r w:rsidR="00012DE4">
        <w:t xml:space="preserve">Considering their </w:t>
      </w:r>
      <w:proofErr w:type="spellStart"/>
      <w:r w:rsidR="00012DE4">
        <w:t>sharpe</w:t>
      </w:r>
      <w:proofErr w:type="spellEnd"/>
      <w:r w:rsidR="00012DE4">
        <w:t xml:space="preserve"> ratio and correlations for the purpose of diversification benefit, we have chosen two companies with following particulars.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0"/>
        <w:gridCol w:w="5020"/>
      </w:tblGrid>
      <w:tr w:rsidR="00012DE4" w:rsidRPr="00012DE4" w:rsidTr="00EB60EA">
        <w:trPr>
          <w:trHeight w:val="320"/>
          <w:jc w:val="center"/>
        </w:trPr>
        <w:tc>
          <w:tcPr>
            <w:tcW w:w="1480" w:type="dxa"/>
            <w:noWrap/>
            <w:hideMark/>
          </w:tcPr>
          <w:p w:rsidR="00012DE4" w:rsidRPr="00EB60EA" w:rsidRDefault="00012DE4" w:rsidP="00012DE4">
            <w:pPr>
              <w:spacing w:line="360" w:lineRule="auto"/>
              <w:jc w:val="center"/>
            </w:pPr>
            <w:r w:rsidRPr="00EB60EA">
              <w:t>Companies</w:t>
            </w:r>
          </w:p>
        </w:tc>
        <w:tc>
          <w:tcPr>
            <w:tcW w:w="5020" w:type="dxa"/>
            <w:noWrap/>
            <w:hideMark/>
          </w:tcPr>
          <w:p w:rsidR="00012DE4" w:rsidRPr="00EB60EA" w:rsidRDefault="00012DE4" w:rsidP="00EB60EA">
            <w:pPr>
              <w:spacing w:line="360" w:lineRule="auto"/>
              <w:rPr>
                <w:u w:val="single"/>
              </w:rPr>
            </w:pPr>
            <w:r w:rsidRPr="00EB60EA">
              <w:rPr>
                <w:u w:val="single"/>
              </w:rPr>
              <w:t>United Power Bangladesh ltd. (UPGDCL)</w:t>
            </w:r>
          </w:p>
        </w:tc>
      </w:tr>
      <w:tr w:rsidR="00012DE4" w:rsidRPr="00012DE4" w:rsidTr="00EB60EA">
        <w:trPr>
          <w:trHeight w:val="320"/>
          <w:jc w:val="center"/>
        </w:trPr>
        <w:tc>
          <w:tcPr>
            <w:tcW w:w="1480" w:type="dxa"/>
            <w:noWrap/>
            <w:hideMark/>
          </w:tcPr>
          <w:p w:rsidR="00012DE4" w:rsidRPr="00EB60EA" w:rsidRDefault="00012DE4" w:rsidP="00012DE4">
            <w:pPr>
              <w:spacing w:line="360" w:lineRule="auto"/>
              <w:jc w:val="center"/>
            </w:pPr>
          </w:p>
        </w:tc>
        <w:tc>
          <w:tcPr>
            <w:tcW w:w="5020" w:type="dxa"/>
            <w:noWrap/>
            <w:hideMark/>
          </w:tcPr>
          <w:p w:rsidR="00012DE4" w:rsidRPr="00EB60EA" w:rsidRDefault="00012DE4" w:rsidP="00EB60EA">
            <w:pPr>
              <w:spacing w:line="360" w:lineRule="auto"/>
              <w:rPr>
                <w:u w:val="single"/>
              </w:rPr>
            </w:pPr>
            <w:proofErr w:type="spellStart"/>
            <w:r w:rsidRPr="00EB60EA">
              <w:rPr>
                <w:u w:val="single"/>
              </w:rPr>
              <w:t>Monno</w:t>
            </w:r>
            <w:proofErr w:type="spellEnd"/>
            <w:r w:rsidRPr="00EB60EA">
              <w:rPr>
                <w:u w:val="single"/>
              </w:rPr>
              <w:t xml:space="preserve"> Group (MONNOSTAF)</w:t>
            </w:r>
          </w:p>
        </w:tc>
      </w:tr>
    </w:tbl>
    <w:p w:rsidR="00012DE4" w:rsidRDefault="00012DE4" w:rsidP="00012DE4">
      <w:pPr>
        <w:spacing w:line="360" w:lineRule="auto"/>
      </w:pPr>
    </w:p>
    <w:p w:rsidR="00012DE4" w:rsidRDefault="00012DE4" w:rsidP="00012DE4">
      <w:pPr>
        <w:spacing w:line="360" w:lineRule="auto"/>
      </w:pPr>
      <w:r>
        <w:t>Their risk adjusted returns and correlations are:</w:t>
      </w:r>
    </w:p>
    <w:tbl>
      <w:tblPr>
        <w:tblW w:w="9572" w:type="dxa"/>
        <w:tblLook w:val="04A0" w:firstRow="1" w:lastRow="0" w:firstColumn="1" w:lastColumn="0" w:noHBand="0" w:noVBand="1"/>
      </w:tblPr>
      <w:tblGrid>
        <w:gridCol w:w="1776"/>
        <w:gridCol w:w="1905"/>
        <w:gridCol w:w="2268"/>
        <w:gridCol w:w="1701"/>
        <w:gridCol w:w="1922"/>
      </w:tblGrid>
      <w:tr w:rsidR="00012DE4" w:rsidRPr="00BD0DC5" w:rsidTr="00BD0DC5">
        <w:trPr>
          <w:trHeight w:val="320"/>
        </w:trPr>
        <w:tc>
          <w:tcPr>
            <w:tcW w:w="17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12DE4" w:rsidRPr="00012DE4" w:rsidRDefault="00012DE4" w:rsidP="00012DE4">
            <w:pPr>
              <w:rPr>
                <w:b/>
                <w:bCs/>
                <w:color w:val="000000"/>
              </w:rPr>
            </w:pPr>
            <w:r w:rsidRPr="00012DE4">
              <w:rPr>
                <w:b/>
                <w:bCs/>
                <w:color w:val="000000"/>
              </w:rPr>
              <w:t>Symbol</w:t>
            </w:r>
          </w:p>
        </w:tc>
        <w:tc>
          <w:tcPr>
            <w:tcW w:w="1905" w:type="dxa"/>
            <w:tcBorders>
              <w:top w:val="single" w:sz="4" w:space="0" w:color="auto"/>
              <w:left w:val="nil"/>
              <w:bottom w:val="single" w:sz="4" w:space="0" w:color="auto"/>
              <w:right w:val="single" w:sz="4" w:space="0" w:color="auto"/>
            </w:tcBorders>
            <w:shd w:val="clear" w:color="000000" w:fill="F2F2F2"/>
            <w:noWrap/>
            <w:vAlign w:val="bottom"/>
            <w:hideMark/>
          </w:tcPr>
          <w:p w:rsidR="00012DE4" w:rsidRPr="00012DE4" w:rsidRDefault="00012DE4" w:rsidP="00012DE4">
            <w:pPr>
              <w:rPr>
                <w:b/>
                <w:bCs/>
                <w:color w:val="000000"/>
              </w:rPr>
            </w:pPr>
            <w:r w:rsidRPr="00012DE4">
              <w:rPr>
                <w:b/>
                <w:bCs/>
                <w:color w:val="000000"/>
              </w:rPr>
              <w:t>Annual Return</w:t>
            </w:r>
          </w:p>
        </w:tc>
        <w:tc>
          <w:tcPr>
            <w:tcW w:w="2268" w:type="dxa"/>
            <w:tcBorders>
              <w:top w:val="single" w:sz="4" w:space="0" w:color="auto"/>
              <w:left w:val="nil"/>
              <w:bottom w:val="single" w:sz="4" w:space="0" w:color="auto"/>
              <w:right w:val="single" w:sz="4" w:space="0" w:color="auto"/>
            </w:tcBorders>
            <w:shd w:val="clear" w:color="000000" w:fill="F2F2F2"/>
            <w:noWrap/>
            <w:vAlign w:val="bottom"/>
            <w:hideMark/>
          </w:tcPr>
          <w:p w:rsidR="00012DE4" w:rsidRPr="00012DE4" w:rsidRDefault="00012DE4" w:rsidP="00012DE4">
            <w:pPr>
              <w:rPr>
                <w:b/>
                <w:bCs/>
                <w:color w:val="000000"/>
              </w:rPr>
            </w:pPr>
            <w:r w:rsidRPr="00012DE4">
              <w:rPr>
                <w:b/>
                <w:bCs/>
                <w:color w:val="000000"/>
              </w:rPr>
              <w:t>Standard Deviation</w:t>
            </w:r>
          </w:p>
        </w:tc>
        <w:tc>
          <w:tcPr>
            <w:tcW w:w="1701" w:type="dxa"/>
            <w:tcBorders>
              <w:top w:val="single" w:sz="4" w:space="0" w:color="auto"/>
              <w:left w:val="nil"/>
              <w:bottom w:val="single" w:sz="4" w:space="0" w:color="auto"/>
              <w:right w:val="single" w:sz="4" w:space="0" w:color="auto"/>
            </w:tcBorders>
            <w:shd w:val="clear" w:color="000000" w:fill="F2F2F2"/>
            <w:noWrap/>
            <w:vAlign w:val="bottom"/>
            <w:hideMark/>
          </w:tcPr>
          <w:p w:rsidR="00012DE4" w:rsidRPr="00012DE4" w:rsidRDefault="00012DE4" w:rsidP="00012DE4">
            <w:pPr>
              <w:rPr>
                <w:b/>
                <w:bCs/>
                <w:color w:val="000000"/>
              </w:rPr>
            </w:pPr>
            <w:r w:rsidRPr="00012DE4">
              <w:rPr>
                <w:b/>
                <w:bCs/>
                <w:color w:val="000000"/>
              </w:rPr>
              <w:t>Sharpe Ratio</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12DE4" w:rsidRPr="00012DE4" w:rsidRDefault="00012DE4" w:rsidP="00012DE4">
            <w:pPr>
              <w:rPr>
                <w:b/>
                <w:bCs/>
                <w:color w:val="000000"/>
              </w:rPr>
            </w:pPr>
            <w:r w:rsidRPr="00012DE4">
              <w:rPr>
                <w:b/>
                <w:bCs/>
                <w:color w:val="000000"/>
              </w:rPr>
              <w:t>Correlation</w:t>
            </w:r>
          </w:p>
        </w:tc>
      </w:tr>
      <w:tr w:rsidR="00BD0DC5" w:rsidRPr="00012DE4" w:rsidTr="00BD0DC5">
        <w:trPr>
          <w:trHeight w:val="320"/>
        </w:trPr>
        <w:tc>
          <w:tcPr>
            <w:tcW w:w="1776" w:type="dxa"/>
            <w:tcBorders>
              <w:top w:val="nil"/>
              <w:left w:val="single" w:sz="4" w:space="0" w:color="auto"/>
              <w:bottom w:val="single" w:sz="4" w:space="0" w:color="auto"/>
              <w:right w:val="single" w:sz="4" w:space="0" w:color="auto"/>
            </w:tcBorders>
            <w:shd w:val="clear" w:color="auto" w:fill="auto"/>
            <w:noWrap/>
            <w:vAlign w:val="bottom"/>
            <w:hideMark/>
          </w:tcPr>
          <w:p w:rsidR="00012DE4" w:rsidRPr="00012DE4" w:rsidRDefault="00012DE4" w:rsidP="00012DE4">
            <w:pPr>
              <w:rPr>
                <w:b/>
                <w:bCs/>
                <w:color w:val="000000"/>
              </w:rPr>
            </w:pPr>
            <w:r w:rsidRPr="00012DE4">
              <w:rPr>
                <w:b/>
                <w:bCs/>
                <w:color w:val="000000"/>
              </w:rPr>
              <w:t>UPGDCL</w:t>
            </w:r>
          </w:p>
        </w:tc>
        <w:tc>
          <w:tcPr>
            <w:tcW w:w="1905"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29%</w:t>
            </w:r>
          </w:p>
        </w:tc>
        <w:tc>
          <w:tcPr>
            <w:tcW w:w="2268"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37%</w:t>
            </w:r>
          </w:p>
        </w:tc>
        <w:tc>
          <w:tcPr>
            <w:tcW w:w="1701"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0.54</w:t>
            </w:r>
          </w:p>
        </w:tc>
        <w:tc>
          <w:tcPr>
            <w:tcW w:w="19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12DE4" w:rsidRPr="00012DE4" w:rsidRDefault="00012DE4" w:rsidP="00012DE4">
            <w:pPr>
              <w:jc w:val="center"/>
              <w:rPr>
                <w:color w:val="000000"/>
              </w:rPr>
            </w:pPr>
            <w:r w:rsidRPr="00012DE4">
              <w:rPr>
                <w:color w:val="000000"/>
              </w:rPr>
              <w:t>0.01</w:t>
            </w:r>
          </w:p>
        </w:tc>
      </w:tr>
      <w:tr w:rsidR="00BD0DC5" w:rsidRPr="00012DE4" w:rsidTr="00BD0DC5">
        <w:trPr>
          <w:trHeight w:val="320"/>
        </w:trPr>
        <w:tc>
          <w:tcPr>
            <w:tcW w:w="1776" w:type="dxa"/>
            <w:tcBorders>
              <w:top w:val="nil"/>
              <w:left w:val="single" w:sz="4" w:space="0" w:color="auto"/>
              <w:bottom w:val="single" w:sz="4" w:space="0" w:color="auto"/>
              <w:right w:val="single" w:sz="4" w:space="0" w:color="auto"/>
            </w:tcBorders>
            <w:shd w:val="clear" w:color="auto" w:fill="auto"/>
            <w:noWrap/>
            <w:vAlign w:val="bottom"/>
            <w:hideMark/>
          </w:tcPr>
          <w:p w:rsidR="00012DE4" w:rsidRPr="00012DE4" w:rsidRDefault="00012DE4" w:rsidP="00012DE4">
            <w:pPr>
              <w:rPr>
                <w:b/>
                <w:bCs/>
                <w:color w:val="000000"/>
              </w:rPr>
            </w:pPr>
            <w:r w:rsidRPr="00012DE4">
              <w:rPr>
                <w:b/>
                <w:bCs/>
                <w:color w:val="000000"/>
              </w:rPr>
              <w:t>MONNOSTAF</w:t>
            </w:r>
          </w:p>
        </w:tc>
        <w:tc>
          <w:tcPr>
            <w:tcW w:w="1905"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43%</w:t>
            </w:r>
          </w:p>
        </w:tc>
        <w:tc>
          <w:tcPr>
            <w:tcW w:w="2268"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61%</w:t>
            </w:r>
          </w:p>
        </w:tc>
        <w:tc>
          <w:tcPr>
            <w:tcW w:w="1701" w:type="dxa"/>
            <w:tcBorders>
              <w:top w:val="nil"/>
              <w:left w:val="nil"/>
              <w:bottom w:val="single" w:sz="4" w:space="0" w:color="auto"/>
              <w:right w:val="single" w:sz="4" w:space="0" w:color="auto"/>
            </w:tcBorders>
            <w:shd w:val="clear" w:color="auto" w:fill="auto"/>
            <w:noWrap/>
            <w:vAlign w:val="bottom"/>
            <w:hideMark/>
          </w:tcPr>
          <w:p w:rsidR="00012DE4" w:rsidRPr="00012DE4" w:rsidRDefault="00012DE4" w:rsidP="00012DE4">
            <w:pPr>
              <w:jc w:val="right"/>
              <w:rPr>
                <w:color w:val="000000"/>
              </w:rPr>
            </w:pPr>
            <w:r w:rsidRPr="00012DE4">
              <w:rPr>
                <w:color w:val="000000"/>
              </w:rPr>
              <w:t>0.56</w:t>
            </w:r>
          </w:p>
        </w:tc>
        <w:tc>
          <w:tcPr>
            <w:tcW w:w="1922" w:type="dxa"/>
            <w:vMerge/>
            <w:tcBorders>
              <w:top w:val="nil"/>
              <w:left w:val="single" w:sz="4" w:space="0" w:color="auto"/>
              <w:bottom w:val="single" w:sz="4" w:space="0" w:color="auto"/>
              <w:right w:val="single" w:sz="4" w:space="0" w:color="auto"/>
            </w:tcBorders>
            <w:vAlign w:val="center"/>
            <w:hideMark/>
          </w:tcPr>
          <w:p w:rsidR="00012DE4" w:rsidRPr="00012DE4" w:rsidRDefault="00012DE4" w:rsidP="00012DE4">
            <w:pPr>
              <w:rPr>
                <w:color w:val="000000"/>
              </w:rPr>
            </w:pPr>
          </w:p>
        </w:tc>
      </w:tr>
    </w:tbl>
    <w:p w:rsidR="00012DE4" w:rsidRDefault="00012DE4" w:rsidP="00012DE4">
      <w:pPr>
        <w:spacing w:line="360" w:lineRule="auto"/>
      </w:pPr>
    </w:p>
    <w:p w:rsidR="00EB60EA" w:rsidRDefault="00EB60EA" w:rsidP="00012DE4">
      <w:pPr>
        <w:spacing w:line="360" w:lineRule="auto"/>
      </w:pPr>
      <w:r>
        <w:br/>
      </w:r>
    </w:p>
    <w:p w:rsidR="00EB60EA" w:rsidRDefault="00EB60EA">
      <w:r>
        <w:br w:type="page"/>
      </w:r>
    </w:p>
    <w:p w:rsidR="00EB60EA" w:rsidRDefault="00EB60EA" w:rsidP="00012DE4">
      <w:pPr>
        <w:spacing w:line="360" w:lineRule="auto"/>
      </w:pPr>
    </w:p>
    <w:p w:rsidR="00EB60EA" w:rsidRDefault="00EB60EA" w:rsidP="00EB60EA">
      <w:pPr>
        <w:spacing w:line="360" w:lineRule="auto"/>
        <w:rPr>
          <w:b/>
          <w:bCs/>
        </w:rPr>
      </w:pPr>
      <w:r w:rsidRPr="00EB60EA">
        <w:rPr>
          <w:b/>
          <w:bCs/>
        </w:rPr>
        <w:t>Portfolio of Risky Assets</w:t>
      </w:r>
    </w:p>
    <w:p w:rsidR="00EB60EA" w:rsidRDefault="00EB60EA" w:rsidP="00EB60EA">
      <w:pPr>
        <w:spacing w:line="360" w:lineRule="auto"/>
        <w:rPr>
          <w:rFonts w:ascii="TimesNewRomanPSMT" w:hAnsi="TimesNewRomanPSMT"/>
        </w:rPr>
      </w:pPr>
      <w:r>
        <w:rPr>
          <w:rFonts w:ascii="TimesNewRomanPSMT" w:hAnsi="TimesNewRomanPSMT"/>
        </w:rPr>
        <w:t xml:space="preserve">The expected rate of return on a portfolio is the weighted average of the expected returns on the component securities, with the portfolio proportions as weights. </w:t>
      </w:r>
    </w:p>
    <w:p w:rsidR="00EB60EA" w:rsidRDefault="00EB60EA" w:rsidP="00EB60EA">
      <w:pPr>
        <w:spacing w:line="360" w:lineRule="auto"/>
        <w:jc w:val="center"/>
      </w:pPr>
      <w:r>
        <w:fldChar w:fldCharType="begin"/>
      </w:r>
      <w:r>
        <w:instrText xml:space="preserve"> INCLUDEPICTURE "/var/folders/kj/np_374c52r15_vl7ntf9xsp80000gn/T/com.microsoft.Word/WebArchiveCopyPasteTempFiles/page2image47316992" \* MERGEFORMATINET </w:instrText>
      </w:r>
      <w:r>
        <w:fldChar w:fldCharType="separate"/>
      </w:r>
      <w:r>
        <w:rPr>
          <w:noProof/>
        </w:rPr>
        <w:drawing>
          <wp:inline distT="0" distB="0" distL="0" distR="0" wp14:anchorId="497748E1" wp14:editId="0033B65C">
            <wp:extent cx="2517140" cy="525145"/>
            <wp:effectExtent l="0" t="0" r="0" b="0"/>
            <wp:docPr id="56" name="Picture 56" descr="page2image4731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73169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7140" cy="525145"/>
                    </a:xfrm>
                    <a:prstGeom prst="rect">
                      <a:avLst/>
                    </a:prstGeom>
                    <a:noFill/>
                    <a:ln>
                      <a:noFill/>
                    </a:ln>
                  </pic:spPr>
                </pic:pic>
              </a:graphicData>
            </a:graphic>
          </wp:inline>
        </w:drawing>
      </w:r>
      <w:r>
        <w:fldChar w:fldCharType="end"/>
      </w:r>
    </w:p>
    <w:p w:rsidR="00EB60EA" w:rsidRDefault="00EB60EA" w:rsidP="00EB60EA">
      <w:pPr>
        <w:spacing w:line="360" w:lineRule="auto"/>
        <w:rPr>
          <w:rFonts w:ascii="TimesNewRomanPSMT" w:hAnsi="TimesNewRomanPSMT"/>
        </w:rPr>
      </w:pPr>
      <w:r>
        <w:rPr>
          <w:rFonts w:ascii="TimesNewRomanPSMT" w:hAnsi="TimesNewRomanPSMT"/>
        </w:rPr>
        <w:t xml:space="preserve">The variance of the rate of return on a two-risky-asset portfolio is- </w:t>
      </w:r>
    </w:p>
    <w:p w:rsidR="00EB60EA" w:rsidRPr="00EB60EA" w:rsidRDefault="00EB60EA" w:rsidP="00EB60EA">
      <w:pPr>
        <w:spacing w:line="360" w:lineRule="auto"/>
        <w:jc w:val="center"/>
        <w:rPr>
          <w:b/>
          <w:bCs/>
        </w:rPr>
      </w:pPr>
      <w:r>
        <w:fldChar w:fldCharType="begin"/>
      </w:r>
      <w:r>
        <w:instrText xml:space="preserve"> INCLUDEPICTURE "/var/folders/kj/np_374c52r15_vl7ntf9xsp80000gn/T/com.microsoft.Word/WebArchiveCopyPasteTempFiles/page2image47318864" \* MERGEFORMATINET </w:instrText>
      </w:r>
      <w:r>
        <w:fldChar w:fldCharType="separate"/>
      </w:r>
      <w:r>
        <w:rPr>
          <w:noProof/>
        </w:rPr>
        <w:drawing>
          <wp:inline distT="0" distB="0" distL="0" distR="0" wp14:anchorId="17561129" wp14:editId="5BDD16D4">
            <wp:extent cx="4065270" cy="570230"/>
            <wp:effectExtent l="0" t="0" r="0" b="1270"/>
            <wp:docPr id="55" name="Picture 55" descr="page2image4731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47318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5270" cy="570230"/>
                    </a:xfrm>
                    <a:prstGeom prst="rect">
                      <a:avLst/>
                    </a:prstGeom>
                    <a:noFill/>
                    <a:ln>
                      <a:noFill/>
                    </a:ln>
                  </pic:spPr>
                </pic:pic>
              </a:graphicData>
            </a:graphic>
          </wp:inline>
        </w:drawing>
      </w:r>
      <w:r>
        <w:fldChar w:fldCharType="end"/>
      </w:r>
    </w:p>
    <w:p w:rsidR="00EB60EA" w:rsidRDefault="00EB60EA" w:rsidP="00EB60EA">
      <w:pPr>
        <w:pStyle w:val="NormalWeb"/>
        <w:rPr>
          <w:rFonts w:ascii="TimesNewRomanPSMT" w:hAnsi="TimesNewRomanPSMT"/>
        </w:rPr>
      </w:pPr>
      <w:r>
        <w:rPr>
          <w:rFonts w:ascii="TimesNewRomanPSMT" w:hAnsi="TimesNewRomanPSMT"/>
        </w:rPr>
        <w:t>Where ρ</w:t>
      </w:r>
      <w:r>
        <w:rPr>
          <w:rFonts w:ascii="TimesNewRomanPSMT" w:hAnsi="TimesNewRomanPSMT"/>
          <w:position w:val="-2"/>
          <w:sz w:val="16"/>
          <w:szCs w:val="16"/>
        </w:rPr>
        <w:t xml:space="preserve">BS </w:t>
      </w:r>
      <w:r>
        <w:rPr>
          <w:rFonts w:ascii="TimesNewRomanPSMT" w:hAnsi="TimesNewRomanPSMT"/>
        </w:rPr>
        <w:t xml:space="preserve">is the correlation coefficient between the returns on the two risk assets. As we can see the value is very close to zero, we can interpret that the stocks have no linear relationship or a very weak linear relationship. </w:t>
      </w:r>
    </w:p>
    <w:p w:rsidR="00F6137A" w:rsidRDefault="00BD0DC5" w:rsidP="00BD0DC5">
      <w:pPr>
        <w:pStyle w:val="NormalWeb"/>
        <w:rPr>
          <w:rFonts w:ascii="TimesNewRomanPSMT" w:hAnsi="TimesNewRomanPSMT"/>
        </w:rPr>
      </w:pPr>
      <w:r>
        <w:rPr>
          <w:rFonts w:ascii="TimesNewRomanPSMT" w:hAnsi="TimesNewRomanPSMT"/>
        </w:rPr>
        <w:t xml:space="preserve">For efficient frontier of the portfolio of two assets, we have calculated portfolio returns, risk and </w:t>
      </w:r>
      <w:proofErr w:type="spellStart"/>
      <w:r>
        <w:rPr>
          <w:rFonts w:ascii="TimesNewRomanPSMT" w:hAnsi="TimesNewRomanPSMT"/>
        </w:rPr>
        <w:t>sharpe</w:t>
      </w:r>
      <w:proofErr w:type="spellEnd"/>
      <w:r>
        <w:rPr>
          <w:rFonts w:ascii="TimesNewRomanPSMT" w:hAnsi="TimesNewRomanPSMT"/>
        </w:rPr>
        <w:t xml:space="preserve"> ratio for various weights (Appendix E). </w:t>
      </w:r>
    </w:p>
    <w:p w:rsidR="00EB60EA" w:rsidRDefault="00BD0DC5" w:rsidP="00BD0DC5">
      <w:pPr>
        <w:pStyle w:val="NormalWeb"/>
        <w:rPr>
          <w:rFonts w:ascii="TimesNewRomanPSMT" w:hAnsi="TimesNewRomanPSMT"/>
        </w:rPr>
      </w:pPr>
      <w:r>
        <w:rPr>
          <w:rFonts w:ascii="TimesNewRomanPSMT" w:hAnsi="TimesNewRomanPSMT"/>
        </w:rPr>
        <w:t xml:space="preserve">Maximum </w:t>
      </w:r>
      <w:proofErr w:type="spellStart"/>
      <w:r>
        <w:rPr>
          <w:rFonts w:ascii="TimesNewRomanPSMT" w:hAnsi="TimesNewRomanPSMT"/>
        </w:rPr>
        <w:t>sharpe</w:t>
      </w:r>
      <w:proofErr w:type="spellEnd"/>
      <w:r>
        <w:rPr>
          <w:rFonts w:ascii="TimesNewRomanPSMT" w:hAnsi="TimesNewRomanPSMT"/>
        </w:rPr>
        <w:t xml:space="preserve"> ratio is found to be 0.78 for 60% United Power Bangladesh ltd and 40% </w:t>
      </w:r>
      <w:proofErr w:type="spellStart"/>
      <w:r>
        <w:rPr>
          <w:rFonts w:ascii="TimesNewRomanPSMT" w:hAnsi="TimesNewRomanPSMT"/>
        </w:rPr>
        <w:t>Monno</w:t>
      </w:r>
      <w:proofErr w:type="spellEnd"/>
      <w:r>
        <w:rPr>
          <w:rFonts w:ascii="TimesNewRomanPSMT" w:hAnsi="TimesNewRomanPSMT"/>
        </w:rPr>
        <w:t xml:space="preserve"> Group. Returns and Risk are as follows.</w:t>
      </w:r>
    </w:p>
    <w:p w:rsidR="002450C1" w:rsidRPr="00BD0DC5" w:rsidRDefault="002450C1" w:rsidP="00BD0DC5">
      <w:pPr>
        <w:pStyle w:val="NormalWeb"/>
        <w:rPr>
          <w:rFonts w:ascii="TimesNewRomanPSMT" w:hAnsi="TimesNewRomanPSMT"/>
        </w:rPr>
      </w:pPr>
    </w:p>
    <w:tbl>
      <w:tblPr>
        <w:tblW w:w="3649" w:type="dxa"/>
        <w:jc w:val="center"/>
        <w:tblLook w:val="04A0" w:firstRow="1" w:lastRow="0" w:firstColumn="1" w:lastColumn="0" w:noHBand="0" w:noVBand="1"/>
      </w:tblPr>
      <w:tblGrid>
        <w:gridCol w:w="2609"/>
        <w:gridCol w:w="1040"/>
      </w:tblGrid>
      <w:tr w:rsidR="00F6137A" w:rsidRPr="00F6137A" w:rsidTr="00F6137A">
        <w:trPr>
          <w:trHeight w:val="320"/>
          <w:jc w:val="center"/>
        </w:trPr>
        <w:tc>
          <w:tcPr>
            <w:tcW w:w="26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6137A" w:rsidRPr="00F6137A" w:rsidRDefault="00F6137A" w:rsidP="00F6137A">
            <w:pPr>
              <w:rPr>
                <w:b/>
                <w:bCs/>
                <w:color w:val="000000"/>
              </w:rPr>
            </w:pPr>
            <w:r w:rsidRPr="00F6137A">
              <w:rPr>
                <w:b/>
                <w:bCs/>
                <w:color w:val="000000"/>
              </w:rPr>
              <w:t>UPGDCL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60%</w:t>
            </w:r>
          </w:p>
        </w:tc>
      </w:tr>
      <w:tr w:rsidR="00F6137A" w:rsidRPr="00F6137A" w:rsidTr="00F6137A">
        <w:trPr>
          <w:trHeight w:val="320"/>
          <w:jc w:val="center"/>
        </w:trPr>
        <w:tc>
          <w:tcPr>
            <w:tcW w:w="2609" w:type="dxa"/>
            <w:tcBorders>
              <w:top w:val="nil"/>
              <w:left w:val="single" w:sz="4" w:space="0" w:color="auto"/>
              <w:bottom w:val="single" w:sz="4" w:space="0" w:color="auto"/>
              <w:right w:val="single" w:sz="4" w:space="0" w:color="auto"/>
            </w:tcBorders>
            <w:shd w:val="clear" w:color="000000" w:fill="D9D9D9"/>
            <w:noWrap/>
            <w:vAlign w:val="center"/>
            <w:hideMark/>
          </w:tcPr>
          <w:p w:rsidR="00F6137A" w:rsidRPr="00F6137A" w:rsidRDefault="00F6137A" w:rsidP="00F6137A">
            <w:pPr>
              <w:rPr>
                <w:b/>
                <w:bCs/>
                <w:color w:val="000000"/>
              </w:rPr>
            </w:pPr>
            <w:r w:rsidRPr="00F6137A">
              <w:rPr>
                <w:b/>
                <w:bCs/>
                <w:color w:val="000000"/>
              </w:rPr>
              <w:t>MONNOSTAF</w:t>
            </w:r>
          </w:p>
        </w:tc>
        <w:tc>
          <w:tcPr>
            <w:tcW w:w="1040" w:type="dxa"/>
            <w:tcBorders>
              <w:top w:val="nil"/>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40%</w:t>
            </w:r>
          </w:p>
        </w:tc>
      </w:tr>
      <w:tr w:rsidR="00F6137A" w:rsidRPr="00F6137A" w:rsidTr="00F6137A">
        <w:trPr>
          <w:trHeight w:val="320"/>
          <w:jc w:val="center"/>
        </w:trPr>
        <w:tc>
          <w:tcPr>
            <w:tcW w:w="2609" w:type="dxa"/>
            <w:tcBorders>
              <w:top w:val="nil"/>
              <w:left w:val="single" w:sz="4" w:space="0" w:color="auto"/>
              <w:bottom w:val="single" w:sz="4" w:space="0" w:color="auto"/>
              <w:right w:val="single" w:sz="4" w:space="0" w:color="auto"/>
            </w:tcBorders>
            <w:shd w:val="clear" w:color="000000" w:fill="D9D9D9"/>
            <w:noWrap/>
            <w:vAlign w:val="bottom"/>
            <w:hideMark/>
          </w:tcPr>
          <w:p w:rsidR="00F6137A" w:rsidRPr="00F6137A" w:rsidRDefault="00F6137A" w:rsidP="00F6137A">
            <w:pPr>
              <w:rPr>
                <w:b/>
                <w:bCs/>
                <w:color w:val="000000"/>
              </w:rPr>
            </w:pPr>
            <w:r w:rsidRPr="00F6137A">
              <w:rPr>
                <w:b/>
                <w:bCs/>
                <w:color w:val="000000"/>
              </w:rPr>
              <w:t>Portfolio Return</w:t>
            </w:r>
          </w:p>
        </w:tc>
        <w:tc>
          <w:tcPr>
            <w:tcW w:w="1040" w:type="dxa"/>
            <w:tcBorders>
              <w:top w:val="nil"/>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35%</w:t>
            </w:r>
          </w:p>
        </w:tc>
      </w:tr>
      <w:tr w:rsidR="00F6137A" w:rsidRPr="00F6137A" w:rsidTr="00F6137A">
        <w:trPr>
          <w:trHeight w:val="320"/>
          <w:jc w:val="center"/>
        </w:trPr>
        <w:tc>
          <w:tcPr>
            <w:tcW w:w="2609" w:type="dxa"/>
            <w:tcBorders>
              <w:top w:val="nil"/>
              <w:left w:val="single" w:sz="4" w:space="0" w:color="auto"/>
              <w:bottom w:val="single" w:sz="4" w:space="0" w:color="auto"/>
              <w:right w:val="single" w:sz="4" w:space="0" w:color="auto"/>
            </w:tcBorders>
            <w:shd w:val="clear" w:color="000000" w:fill="D9D9D9"/>
            <w:noWrap/>
            <w:vAlign w:val="bottom"/>
            <w:hideMark/>
          </w:tcPr>
          <w:p w:rsidR="00F6137A" w:rsidRPr="00F6137A" w:rsidRDefault="00F6137A" w:rsidP="00F6137A">
            <w:pPr>
              <w:rPr>
                <w:b/>
                <w:bCs/>
                <w:color w:val="000000"/>
              </w:rPr>
            </w:pPr>
            <w:r w:rsidRPr="00F6137A">
              <w:rPr>
                <w:b/>
                <w:bCs/>
                <w:color w:val="000000"/>
              </w:rPr>
              <w:t>Portfolio Risk</w:t>
            </w:r>
          </w:p>
        </w:tc>
        <w:tc>
          <w:tcPr>
            <w:tcW w:w="1040" w:type="dxa"/>
            <w:tcBorders>
              <w:top w:val="nil"/>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33%</w:t>
            </w:r>
          </w:p>
        </w:tc>
      </w:tr>
      <w:tr w:rsidR="00F6137A" w:rsidRPr="00F6137A" w:rsidTr="00F6137A">
        <w:trPr>
          <w:trHeight w:val="320"/>
          <w:jc w:val="center"/>
        </w:trPr>
        <w:tc>
          <w:tcPr>
            <w:tcW w:w="2609" w:type="dxa"/>
            <w:tcBorders>
              <w:top w:val="nil"/>
              <w:left w:val="single" w:sz="4" w:space="0" w:color="auto"/>
              <w:bottom w:val="single" w:sz="4" w:space="0" w:color="auto"/>
              <w:right w:val="single" w:sz="4" w:space="0" w:color="auto"/>
            </w:tcBorders>
            <w:shd w:val="clear" w:color="000000" w:fill="D9D9D9"/>
            <w:noWrap/>
            <w:vAlign w:val="bottom"/>
            <w:hideMark/>
          </w:tcPr>
          <w:p w:rsidR="00F6137A" w:rsidRPr="00F6137A" w:rsidRDefault="00F6137A" w:rsidP="00F6137A">
            <w:pPr>
              <w:rPr>
                <w:b/>
                <w:bCs/>
                <w:color w:val="000000"/>
              </w:rPr>
            </w:pPr>
            <w:r w:rsidRPr="00F6137A">
              <w:rPr>
                <w:b/>
                <w:bCs/>
                <w:color w:val="000000"/>
              </w:rPr>
              <w:t>Portfolio Sharpe Ratio</w:t>
            </w:r>
          </w:p>
        </w:tc>
        <w:tc>
          <w:tcPr>
            <w:tcW w:w="1040" w:type="dxa"/>
            <w:tcBorders>
              <w:top w:val="nil"/>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0.78</w:t>
            </w:r>
          </w:p>
        </w:tc>
      </w:tr>
      <w:tr w:rsidR="00F6137A" w:rsidRPr="00F6137A" w:rsidTr="00F6137A">
        <w:trPr>
          <w:trHeight w:val="320"/>
          <w:jc w:val="center"/>
        </w:trPr>
        <w:tc>
          <w:tcPr>
            <w:tcW w:w="2609" w:type="dxa"/>
            <w:tcBorders>
              <w:top w:val="nil"/>
              <w:left w:val="single" w:sz="4" w:space="0" w:color="auto"/>
              <w:bottom w:val="single" w:sz="4" w:space="0" w:color="auto"/>
              <w:right w:val="single" w:sz="4" w:space="0" w:color="auto"/>
            </w:tcBorders>
            <w:shd w:val="clear" w:color="000000" w:fill="D9D9D9"/>
            <w:noWrap/>
            <w:vAlign w:val="bottom"/>
            <w:hideMark/>
          </w:tcPr>
          <w:p w:rsidR="00F6137A" w:rsidRPr="00F6137A" w:rsidRDefault="00F6137A" w:rsidP="00F6137A">
            <w:pPr>
              <w:rPr>
                <w:b/>
                <w:bCs/>
                <w:color w:val="000000"/>
              </w:rPr>
            </w:pPr>
            <w:r w:rsidRPr="00F6137A">
              <w:rPr>
                <w:b/>
                <w:bCs/>
                <w:color w:val="000000"/>
              </w:rPr>
              <w:t>Risk Premium to VAR</w:t>
            </w:r>
          </w:p>
        </w:tc>
        <w:tc>
          <w:tcPr>
            <w:tcW w:w="1040" w:type="dxa"/>
            <w:tcBorders>
              <w:top w:val="nil"/>
              <w:left w:val="nil"/>
              <w:bottom w:val="single" w:sz="4" w:space="0" w:color="auto"/>
              <w:right w:val="single" w:sz="4" w:space="0" w:color="auto"/>
            </w:tcBorders>
            <w:shd w:val="clear" w:color="auto" w:fill="auto"/>
            <w:noWrap/>
            <w:vAlign w:val="bottom"/>
            <w:hideMark/>
          </w:tcPr>
          <w:p w:rsidR="00F6137A" w:rsidRPr="00F6137A" w:rsidRDefault="00F6137A" w:rsidP="00F6137A">
            <w:pPr>
              <w:jc w:val="right"/>
              <w:rPr>
                <w:color w:val="000000"/>
              </w:rPr>
            </w:pPr>
            <w:r w:rsidRPr="00F6137A">
              <w:rPr>
                <w:color w:val="000000"/>
              </w:rPr>
              <w:t>2.37</w:t>
            </w:r>
          </w:p>
        </w:tc>
      </w:tr>
    </w:tbl>
    <w:p w:rsidR="00012DE4" w:rsidRDefault="00012DE4" w:rsidP="00F6137A">
      <w:pPr>
        <w:spacing w:line="360" w:lineRule="auto"/>
      </w:pPr>
    </w:p>
    <w:p w:rsidR="00F6137A" w:rsidRDefault="00F6137A" w:rsidP="00F6137A">
      <w:pPr>
        <w:spacing w:line="360" w:lineRule="auto"/>
      </w:pPr>
      <w:r w:rsidRPr="00F6137A">
        <w:lastRenderedPageBreak/>
        <w:drawing>
          <wp:inline distT="0" distB="0" distL="0" distR="0" wp14:anchorId="0DD55BA3" wp14:editId="03B2100D">
            <wp:extent cx="5727700" cy="3931285"/>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931285"/>
                    </a:xfrm>
                    <a:prstGeom prst="rect">
                      <a:avLst/>
                    </a:prstGeom>
                  </pic:spPr>
                </pic:pic>
              </a:graphicData>
            </a:graphic>
          </wp:inline>
        </w:drawing>
      </w:r>
    </w:p>
    <w:p w:rsidR="002450C1" w:rsidRDefault="002450C1" w:rsidP="002450C1">
      <w:pPr>
        <w:spacing w:line="360" w:lineRule="auto"/>
        <w:jc w:val="center"/>
      </w:pPr>
      <w:r>
        <w:t>Figure: Risk and Return of the portfolio of two risky assets</w:t>
      </w:r>
    </w:p>
    <w:p w:rsidR="002014D5" w:rsidRDefault="002014D5" w:rsidP="002450C1">
      <w:pPr>
        <w:spacing w:line="360" w:lineRule="auto"/>
        <w:jc w:val="center"/>
      </w:pPr>
    </w:p>
    <w:p w:rsidR="002450C1" w:rsidRPr="002014D5" w:rsidRDefault="002450C1" w:rsidP="002450C1">
      <w:pPr>
        <w:pStyle w:val="NormalWeb"/>
        <w:rPr>
          <w:rFonts w:ascii="TimesNewRomanPSMT" w:hAnsi="TimesNewRomanPSMT"/>
          <w:b/>
          <w:bCs/>
          <w:sz w:val="28"/>
          <w:szCs w:val="32"/>
        </w:rPr>
      </w:pPr>
      <w:r w:rsidRPr="002014D5">
        <w:rPr>
          <w:rFonts w:ascii="TimesNewRomanPSMT" w:hAnsi="TimesNewRomanPSMT"/>
          <w:b/>
          <w:bCs/>
          <w:sz w:val="28"/>
          <w:szCs w:val="32"/>
        </w:rPr>
        <w:t>Risk Free and Risky Assets Portfolio:</w:t>
      </w:r>
    </w:p>
    <w:p w:rsidR="002450C1" w:rsidRDefault="002450C1" w:rsidP="002450C1">
      <w:pPr>
        <w:pStyle w:val="NormalWeb"/>
      </w:pPr>
      <w:r>
        <w:rPr>
          <w:rFonts w:ascii="TimesNewRomanPSMT" w:hAnsi="TimesNewRomanPSMT"/>
        </w:rPr>
        <w:t xml:space="preserve">The compensation for risk demanded by the investor must be compared to the price of risk offered by the risky portfolio. We can find the investor’s preferred capital allocation, y, by dividing the risky portfolio’s price of risk by the investor’s risk aversion, her required price of risk: </w:t>
      </w:r>
    </w:p>
    <w:p w:rsidR="002450C1" w:rsidRDefault="002450C1" w:rsidP="002450C1">
      <w:pPr>
        <w:jc w:val="center"/>
      </w:pPr>
      <w:r>
        <w:fldChar w:fldCharType="begin"/>
      </w:r>
      <w:r>
        <w:instrText xml:space="preserve"> INCLUDEPICTURE "/var/folders/kj/np_374c52r15_vl7ntf9xsp80000gn/T/com.microsoft.Word/WebArchiveCopyPasteTempFiles/page6image47323024" \* MERGEFORMATINET </w:instrText>
      </w:r>
      <w:r>
        <w:fldChar w:fldCharType="separate"/>
      </w:r>
      <w:r>
        <w:rPr>
          <w:noProof/>
        </w:rPr>
        <w:drawing>
          <wp:inline distT="0" distB="0" distL="0" distR="0">
            <wp:extent cx="3902075" cy="497840"/>
            <wp:effectExtent l="0" t="0" r="0" b="0"/>
            <wp:docPr id="59" name="Picture 59" descr="page6image473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47323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075" cy="497840"/>
                    </a:xfrm>
                    <a:prstGeom prst="rect">
                      <a:avLst/>
                    </a:prstGeom>
                    <a:noFill/>
                    <a:ln>
                      <a:noFill/>
                    </a:ln>
                  </pic:spPr>
                </pic:pic>
              </a:graphicData>
            </a:graphic>
          </wp:inline>
        </w:drawing>
      </w:r>
      <w:r>
        <w:fldChar w:fldCharType="end"/>
      </w:r>
    </w:p>
    <w:p w:rsidR="002450C1" w:rsidRDefault="00DC199D" w:rsidP="002450C1">
      <w:pPr>
        <w:spacing w:line="360" w:lineRule="auto"/>
      </w:pPr>
      <w:r>
        <w:t xml:space="preserve">For risk free rate of 9% and investors risk aversion coefficient of 3.10, we can calculate the percentage of risky asset portfolio as 0.77 or 77% and risk free asset to be taken as 23% of the total investment. </w:t>
      </w:r>
    </w:p>
    <w:tbl>
      <w:tblPr>
        <w:tblW w:w="4673" w:type="dxa"/>
        <w:jc w:val="center"/>
        <w:tblLook w:val="04A0" w:firstRow="1" w:lastRow="0" w:firstColumn="1" w:lastColumn="0" w:noHBand="0" w:noVBand="1"/>
      </w:tblPr>
      <w:tblGrid>
        <w:gridCol w:w="3397"/>
        <w:gridCol w:w="1276"/>
      </w:tblGrid>
      <w:tr w:rsidR="00DC199D" w:rsidRPr="00DC199D" w:rsidTr="00DC199D">
        <w:trPr>
          <w:trHeight w:val="320"/>
          <w:jc w:val="center"/>
        </w:trPr>
        <w:tc>
          <w:tcPr>
            <w:tcW w:w="339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Risk Free Rate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9%</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Risk Aversion Coefficient</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3.10</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Portfolio Return</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35%</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Portfolio Risk</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33%</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Risk Premium</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26%</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Weight of the Risky Portfolio</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77%</w:t>
            </w:r>
          </w:p>
        </w:tc>
      </w:tr>
      <w:tr w:rsidR="00DC199D" w:rsidRPr="00DC199D" w:rsidTr="00DC199D">
        <w:trPr>
          <w:trHeight w:val="320"/>
          <w:jc w:val="center"/>
        </w:trPr>
        <w:tc>
          <w:tcPr>
            <w:tcW w:w="3397" w:type="dxa"/>
            <w:tcBorders>
              <w:top w:val="nil"/>
              <w:left w:val="single" w:sz="4" w:space="0" w:color="auto"/>
              <w:bottom w:val="single" w:sz="4" w:space="0" w:color="auto"/>
              <w:right w:val="single" w:sz="4" w:space="0" w:color="auto"/>
            </w:tcBorders>
            <w:shd w:val="clear" w:color="000000" w:fill="D9D9D9"/>
            <w:noWrap/>
            <w:vAlign w:val="bottom"/>
            <w:hideMark/>
          </w:tcPr>
          <w:p w:rsidR="00DC199D" w:rsidRPr="00DC199D" w:rsidRDefault="00DC199D" w:rsidP="00DC199D">
            <w:pPr>
              <w:rPr>
                <w:color w:val="000000"/>
              </w:rPr>
            </w:pPr>
            <w:r w:rsidRPr="00DC199D">
              <w:rPr>
                <w:color w:val="000000"/>
              </w:rPr>
              <w:t xml:space="preserve">Weight of the Risk Free Asset </w:t>
            </w:r>
          </w:p>
        </w:tc>
        <w:tc>
          <w:tcPr>
            <w:tcW w:w="1276" w:type="dxa"/>
            <w:tcBorders>
              <w:top w:val="nil"/>
              <w:left w:val="nil"/>
              <w:bottom w:val="single" w:sz="4" w:space="0" w:color="auto"/>
              <w:right w:val="single" w:sz="4" w:space="0" w:color="auto"/>
            </w:tcBorders>
            <w:shd w:val="clear" w:color="auto" w:fill="auto"/>
            <w:noWrap/>
            <w:vAlign w:val="bottom"/>
            <w:hideMark/>
          </w:tcPr>
          <w:p w:rsidR="00DC199D" w:rsidRPr="00DC199D" w:rsidRDefault="00DC199D" w:rsidP="00DC199D">
            <w:pPr>
              <w:jc w:val="right"/>
              <w:rPr>
                <w:color w:val="000000"/>
              </w:rPr>
            </w:pPr>
            <w:r w:rsidRPr="00DC199D">
              <w:rPr>
                <w:color w:val="000000"/>
              </w:rPr>
              <w:t>23%</w:t>
            </w:r>
          </w:p>
        </w:tc>
      </w:tr>
    </w:tbl>
    <w:p w:rsidR="00DC199D" w:rsidRPr="00C27581" w:rsidRDefault="00DC199D" w:rsidP="002450C1">
      <w:pPr>
        <w:spacing w:line="360" w:lineRule="auto"/>
      </w:pPr>
    </w:p>
    <w:p w:rsidR="0077305E" w:rsidRDefault="005549AC" w:rsidP="005549AC">
      <w:r>
        <w:t>The portfolio with risk free asset (Appendix F) would be as follows:</w:t>
      </w:r>
    </w:p>
    <w:p w:rsidR="005549AC" w:rsidRDefault="005549AC" w:rsidP="005549AC"/>
    <w:tbl>
      <w:tblPr>
        <w:tblW w:w="3480" w:type="dxa"/>
        <w:jc w:val="center"/>
        <w:tblLook w:val="04A0" w:firstRow="1" w:lastRow="0" w:firstColumn="1" w:lastColumn="0" w:noHBand="0" w:noVBand="1"/>
      </w:tblPr>
      <w:tblGrid>
        <w:gridCol w:w="2122"/>
        <w:gridCol w:w="1358"/>
      </w:tblGrid>
      <w:tr w:rsidR="005549AC" w:rsidRPr="005549AC" w:rsidTr="005549AC">
        <w:trPr>
          <w:trHeight w:val="320"/>
          <w:jc w:val="center"/>
        </w:trPr>
        <w:tc>
          <w:tcPr>
            <w:tcW w:w="212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549AC" w:rsidRPr="005549AC" w:rsidRDefault="005549AC" w:rsidP="005549AC">
            <w:pPr>
              <w:rPr>
                <w:b/>
                <w:bCs/>
                <w:color w:val="000000"/>
              </w:rPr>
            </w:pPr>
            <w:r w:rsidRPr="005549AC">
              <w:rPr>
                <w:b/>
                <w:bCs/>
                <w:color w:val="000000"/>
              </w:rPr>
              <w:t>Risk Free Weight</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23%</w:t>
            </w:r>
          </w:p>
        </w:tc>
      </w:tr>
      <w:tr w:rsidR="005549AC" w:rsidRPr="005549AC" w:rsidTr="005549AC">
        <w:trPr>
          <w:trHeight w:val="320"/>
          <w:jc w:val="center"/>
        </w:trPr>
        <w:tc>
          <w:tcPr>
            <w:tcW w:w="2122" w:type="dxa"/>
            <w:tcBorders>
              <w:top w:val="nil"/>
              <w:left w:val="single" w:sz="4" w:space="0" w:color="auto"/>
              <w:bottom w:val="single" w:sz="4" w:space="0" w:color="auto"/>
              <w:right w:val="single" w:sz="4" w:space="0" w:color="auto"/>
            </w:tcBorders>
            <w:shd w:val="clear" w:color="000000" w:fill="D9D9D9"/>
            <w:noWrap/>
            <w:vAlign w:val="bottom"/>
            <w:hideMark/>
          </w:tcPr>
          <w:p w:rsidR="005549AC" w:rsidRPr="005549AC" w:rsidRDefault="005549AC" w:rsidP="005549AC">
            <w:pPr>
              <w:rPr>
                <w:b/>
                <w:bCs/>
                <w:color w:val="000000"/>
              </w:rPr>
            </w:pPr>
            <w:r w:rsidRPr="005549AC">
              <w:rPr>
                <w:b/>
                <w:bCs/>
                <w:color w:val="000000"/>
              </w:rPr>
              <w:t>Risky Portfolio</w:t>
            </w:r>
          </w:p>
        </w:tc>
        <w:tc>
          <w:tcPr>
            <w:tcW w:w="1358"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77%</w:t>
            </w:r>
          </w:p>
        </w:tc>
      </w:tr>
      <w:tr w:rsidR="005549AC" w:rsidRPr="005549AC" w:rsidTr="005549AC">
        <w:trPr>
          <w:trHeight w:val="320"/>
          <w:jc w:val="center"/>
        </w:trPr>
        <w:tc>
          <w:tcPr>
            <w:tcW w:w="2122" w:type="dxa"/>
            <w:tcBorders>
              <w:top w:val="nil"/>
              <w:left w:val="single" w:sz="4" w:space="0" w:color="auto"/>
              <w:bottom w:val="single" w:sz="4" w:space="0" w:color="auto"/>
              <w:right w:val="single" w:sz="4" w:space="0" w:color="auto"/>
            </w:tcBorders>
            <w:shd w:val="clear" w:color="000000" w:fill="D9D9D9"/>
            <w:noWrap/>
            <w:vAlign w:val="bottom"/>
            <w:hideMark/>
          </w:tcPr>
          <w:p w:rsidR="005549AC" w:rsidRPr="005549AC" w:rsidRDefault="005549AC" w:rsidP="005549AC">
            <w:pPr>
              <w:rPr>
                <w:b/>
                <w:bCs/>
                <w:color w:val="000000"/>
              </w:rPr>
            </w:pPr>
            <w:r w:rsidRPr="005549AC">
              <w:rPr>
                <w:b/>
                <w:bCs/>
                <w:color w:val="000000"/>
              </w:rPr>
              <w:t>Portfolio Return</w:t>
            </w:r>
          </w:p>
        </w:tc>
        <w:tc>
          <w:tcPr>
            <w:tcW w:w="1358"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29%</w:t>
            </w:r>
          </w:p>
        </w:tc>
      </w:tr>
      <w:tr w:rsidR="005549AC" w:rsidRPr="005549AC" w:rsidTr="005549AC">
        <w:trPr>
          <w:trHeight w:val="320"/>
          <w:jc w:val="center"/>
        </w:trPr>
        <w:tc>
          <w:tcPr>
            <w:tcW w:w="2122" w:type="dxa"/>
            <w:tcBorders>
              <w:top w:val="nil"/>
              <w:left w:val="single" w:sz="4" w:space="0" w:color="auto"/>
              <w:bottom w:val="single" w:sz="4" w:space="0" w:color="auto"/>
              <w:right w:val="single" w:sz="4" w:space="0" w:color="auto"/>
            </w:tcBorders>
            <w:shd w:val="clear" w:color="000000" w:fill="D9D9D9"/>
            <w:noWrap/>
            <w:vAlign w:val="bottom"/>
            <w:hideMark/>
          </w:tcPr>
          <w:p w:rsidR="005549AC" w:rsidRPr="005549AC" w:rsidRDefault="005549AC" w:rsidP="005549AC">
            <w:pPr>
              <w:rPr>
                <w:b/>
                <w:bCs/>
                <w:color w:val="000000"/>
              </w:rPr>
            </w:pPr>
            <w:r w:rsidRPr="005549AC">
              <w:rPr>
                <w:b/>
                <w:bCs/>
                <w:color w:val="000000"/>
              </w:rPr>
              <w:t>Portfolio Risk</w:t>
            </w:r>
          </w:p>
        </w:tc>
        <w:tc>
          <w:tcPr>
            <w:tcW w:w="1358"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r>
      <w:tr w:rsidR="005549AC" w:rsidRPr="005549AC" w:rsidTr="005549AC">
        <w:trPr>
          <w:trHeight w:val="320"/>
          <w:jc w:val="center"/>
        </w:trPr>
        <w:tc>
          <w:tcPr>
            <w:tcW w:w="2122" w:type="dxa"/>
            <w:tcBorders>
              <w:top w:val="nil"/>
              <w:left w:val="single" w:sz="4" w:space="0" w:color="auto"/>
              <w:bottom w:val="single" w:sz="4" w:space="0" w:color="auto"/>
              <w:right w:val="single" w:sz="4" w:space="0" w:color="auto"/>
            </w:tcBorders>
            <w:shd w:val="clear" w:color="000000" w:fill="D9D9D9"/>
            <w:noWrap/>
            <w:vAlign w:val="bottom"/>
            <w:hideMark/>
          </w:tcPr>
          <w:p w:rsidR="005549AC" w:rsidRPr="005549AC" w:rsidRDefault="005549AC" w:rsidP="005549AC">
            <w:pPr>
              <w:rPr>
                <w:b/>
                <w:bCs/>
                <w:color w:val="000000"/>
              </w:rPr>
            </w:pPr>
            <w:r w:rsidRPr="005549AC">
              <w:rPr>
                <w:b/>
                <w:bCs/>
                <w:color w:val="000000"/>
              </w:rPr>
              <w:t>Sharpe Ratio</w:t>
            </w:r>
          </w:p>
        </w:tc>
        <w:tc>
          <w:tcPr>
            <w:tcW w:w="1358"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0.78</w:t>
            </w:r>
          </w:p>
        </w:tc>
      </w:tr>
    </w:tbl>
    <w:p w:rsidR="005549AC" w:rsidRDefault="005549AC" w:rsidP="005549AC"/>
    <w:p w:rsidR="005549AC" w:rsidRDefault="005549AC" w:rsidP="005549AC">
      <w:r>
        <w:t xml:space="preserve">The investment will allocated 23% to government T-Bonds and 46.2% in United Power Bangladesh ltd and 30.8% in </w:t>
      </w:r>
      <w:proofErr w:type="spellStart"/>
      <w:r>
        <w:t>Monno</w:t>
      </w:r>
      <w:proofErr w:type="spellEnd"/>
      <w:r>
        <w:t xml:space="preserve"> Group. </w:t>
      </w:r>
    </w:p>
    <w:p w:rsidR="005549AC" w:rsidRDefault="005549AC" w:rsidP="005549AC"/>
    <w:p w:rsidR="005549AC" w:rsidRDefault="005549AC" w:rsidP="002014D5">
      <w:pPr>
        <w:jc w:val="center"/>
      </w:pPr>
      <w:r w:rsidRPr="005549AC">
        <w:drawing>
          <wp:inline distT="0" distB="0" distL="0" distR="0" wp14:anchorId="057E1F52" wp14:editId="50203BAD">
            <wp:extent cx="5501363" cy="502856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51"/>
                    <a:stretch/>
                  </pic:blipFill>
                  <pic:spPr bwMode="auto">
                    <a:xfrm>
                      <a:off x="0" y="0"/>
                      <a:ext cx="5501363" cy="5028565"/>
                    </a:xfrm>
                    <a:prstGeom prst="rect">
                      <a:avLst/>
                    </a:prstGeom>
                    <a:ln>
                      <a:noFill/>
                    </a:ln>
                    <a:extLst>
                      <a:ext uri="{53640926-AAD7-44D8-BBD7-CCE9431645EC}">
                        <a14:shadowObscured xmlns:a14="http://schemas.microsoft.com/office/drawing/2010/main"/>
                      </a:ext>
                    </a:extLst>
                  </pic:spPr>
                </pic:pic>
              </a:graphicData>
            </a:graphic>
          </wp:inline>
        </w:drawing>
      </w:r>
    </w:p>
    <w:p w:rsidR="002014D5" w:rsidRDefault="002014D5" w:rsidP="002014D5">
      <w:pPr>
        <w:jc w:val="center"/>
      </w:pPr>
    </w:p>
    <w:p w:rsidR="005549AC" w:rsidRDefault="005549AC" w:rsidP="002014D5">
      <w:pPr>
        <w:jc w:val="center"/>
      </w:pPr>
      <w:r>
        <w:t xml:space="preserve">Figure: </w:t>
      </w:r>
      <w:r w:rsidR="002014D5">
        <w:t>Capital Allocation Line of Optimal Risky Portfolio with Risk Free Asset</w:t>
      </w:r>
    </w:p>
    <w:p w:rsidR="002014D5" w:rsidRDefault="002014D5"/>
    <w:p w:rsidR="002014D5" w:rsidRDefault="002014D5"/>
    <w:p w:rsidR="002014D5" w:rsidRDefault="002014D5">
      <w:r>
        <w:br w:type="page"/>
      </w:r>
    </w:p>
    <w:p w:rsidR="002014D5" w:rsidRPr="002014D5" w:rsidRDefault="002014D5">
      <w:pPr>
        <w:rPr>
          <w:b/>
          <w:bCs/>
          <w:sz w:val="28"/>
          <w:szCs w:val="28"/>
        </w:rPr>
      </w:pPr>
      <w:r w:rsidRPr="002014D5">
        <w:rPr>
          <w:b/>
          <w:bCs/>
          <w:sz w:val="28"/>
          <w:szCs w:val="28"/>
        </w:rPr>
        <w:lastRenderedPageBreak/>
        <w:t xml:space="preserve">Complete Portfolio </w:t>
      </w:r>
    </w:p>
    <w:p w:rsidR="002014D5" w:rsidRDefault="002014D5">
      <w:pPr>
        <w:rPr>
          <w:b/>
          <w:bCs/>
        </w:rPr>
      </w:pPr>
    </w:p>
    <w:p w:rsidR="002014D5" w:rsidRDefault="002014D5">
      <w:pPr>
        <w:rPr>
          <w:b/>
          <w:bCs/>
        </w:rPr>
      </w:pPr>
      <w:r w:rsidRPr="002014D5">
        <w:rPr>
          <w:b/>
          <w:bCs/>
        </w:rPr>
        <w:drawing>
          <wp:inline distT="0" distB="0" distL="0" distR="0" wp14:anchorId="2D654B84" wp14:editId="0163D2E5">
            <wp:extent cx="5727700" cy="8153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815340"/>
                    </a:xfrm>
                    <a:prstGeom prst="rect">
                      <a:avLst/>
                    </a:prstGeom>
                  </pic:spPr>
                </pic:pic>
              </a:graphicData>
            </a:graphic>
          </wp:inline>
        </w:drawing>
      </w:r>
    </w:p>
    <w:p w:rsidR="002014D5" w:rsidRDefault="002014D5">
      <w:pPr>
        <w:rPr>
          <w:b/>
          <w:bCs/>
        </w:rPr>
      </w:pPr>
    </w:p>
    <w:p w:rsidR="002014D5" w:rsidRDefault="002014D5">
      <w:pPr>
        <w:rPr>
          <w:b/>
          <w:bCs/>
        </w:rPr>
      </w:pPr>
    </w:p>
    <w:p w:rsidR="002014D5" w:rsidRPr="002014D5" w:rsidRDefault="002014D5">
      <w:pPr>
        <w:rPr>
          <w:b/>
          <w:bCs/>
          <w:sz w:val="32"/>
          <w:szCs w:val="32"/>
        </w:rPr>
      </w:pPr>
      <w:r w:rsidRPr="002014D5">
        <w:rPr>
          <w:b/>
          <w:bCs/>
          <w:sz w:val="32"/>
          <w:szCs w:val="32"/>
        </w:rPr>
        <w:t>Reference:</w:t>
      </w:r>
    </w:p>
    <w:p w:rsidR="002014D5" w:rsidRDefault="002014D5">
      <w:pPr>
        <w:rPr>
          <w:b/>
          <w:bCs/>
        </w:rPr>
      </w:pPr>
      <w:r>
        <w:rPr>
          <w:b/>
          <w:bCs/>
        </w:rPr>
        <w:t xml:space="preserve">[1] </w:t>
      </w:r>
      <w:hyperlink r:id="rId11" w:history="1">
        <w:r w:rsidRPr="00125CB2">
          <w:rPr>
            <w:rStyle w:val="Hyperlink"/>
            <w:b/>
            <w:bCs/>
          </w:rPr>
          <w:t>www.dsebd.org</w:t>
        </w:r>
      </w:hyperlink>
    </w:p>
    <w:p w:rsidR="002014D5" w:rsidRDefault="002014D5">
      <w:pPr>
        <w:rPr>
          <w:b/>
          <w:bCs/>
        </w:rPr>
      </w:pPr>
      <w:r>
        <w:rPr>
          <w:b/>
          <w:bCs/>
        </w:rPr>
        <w:t>[2] Investment by Bodie, Kane and Marcus</w:t>
      </w:r>
    </w:p>
    <w:p w:rsidR="005549AC" w:rsidRPr="002014D5" w:rsidRDefault="002014D5" w:rsidP="002014D5">
      <w:pPr>
        <w:rPr>
          <w:b/>
          <w:bCs/>
        </w:rPr>
      </w:pPr>
      <w:r>
        <w:rPr>
          <w:b/>
          <w:bCs/>
        </w:rPr>
        <w:t xml:space="preserve"> </w:t>
      </w:r>
      <w:r w:rsidR="005549AC" w:rsidRPr="002014D5">
        <w:rPr>
          <w:b/>
          <w:bCs/>
        </w:rPr>
        <w:br w:type="page"/>
      </w:r>
    </w:p>
    <w:p w:rsidR="005549AC" w:rsidRPr="002A701B" w:rsidRDefault="005549AC" w:rsidP="005549AC"/>
    <w:p w:rsidR="00821F5E" w:rsidRPr="002A701B" w:rsidRDefault="0077305E">
      <w:pPr>
        <w:rPr>
          <w:b/>
          <w:bCs/>
        </w:rPr>
      </w:pPr>
      <w:r w:rsidRPr="002A701B">
        <w:rPr>
          <w:b/>
          <w:bCs/>
        </w:rPr>
        <w:t>Appendix</w:t>
      </w:r>
    </w:p>
    <w:p w:rsidR="0077305E" w:rsidRPr="002A701B" w:rsidRDefault="0077305E">
      <w:pPr>
        <w:rPr>
          <w:b/>
          <w:bCs/>
        </w:rPr>
      </w:pPr>
    </w:p>
    <w:p w:rsidR="00821F5E" w:rsidRPr="002A701B" w:rsidRDefault="0077305E" w:rsidP="0077305E">
      <w:pPr>
        <w:pStyle w:val="ListParagraph"/>
        <w:numPr>
          <w:ilvl w:val="0"/>
          <w:numId w:val="4"/>
        </w:numPr>
        <w:rPr>
          <w:b/>
          <w:bCs/>
        </w:rPr>
      </w:pPr>
      <w:r w:rsidRPr="002A701B">
        <w:rPr>
          <w:b/>
          <w:bCs/>
        </w:rPr>
        <w:t xml:space="preserve">Cut-off and Standard Tenor Yield of T-Bonds on </w:t>
      </w:r>
      <w:proofErr w:type="spellStart"/>
      <w:r w:rsidRPr="002A701B">
        <w:rPr>
          <w:b/>
          <w:bCs/>
        </w:rPr>
        <w:t>on</w:t>
      </w:r>
      <w:proofErr w:type="spellEnd"/>
      <w:r w:rsidRPr="002A701B">
        <w:rPr>
          <w:b/>
          <w:bCs/>
        </w:rPr>
        <w:t xml:space="preserve"> 25 September, 2019</w:t>
      </w:r>
    </w:p>
    <w:p w:rsidR="0077305E" w:rsidRPr="002A701B" w:rsidRDefault="0077305E" w:rsidP="0077305E">
      <w:pPr>
        <w:ind w:left="360"/>
        <w:rPr>
          <w:b/>
          <w:bCs/>
        </w:rPr>
      </w:pPr>
    </w:p>
    <w:tbl>
      <w:tblPr>
        <w:tblW w:w="0" w:type="auto"/>
        <w:jc w:val="center"/>
        <w:tblBorders>
          <w:top w:val="single" w:sz="6" w:space="0" w:color="AAAAAA"/>
          <w:left w:val="outset" w:sz="6" w:space="0" w:color="auto"/>
          <w:bottom w:val="single" w:sz="6" w:space="0" w:color="AAAAAA"/>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1797"/>
        <w:gridCol w:w="889"/>
        <w:gridCol w:w="1588"/>
      </w:tblGrid>
      <w:tr w:rsidR="00821F5E" w:rsidRPr="002A701B" w:rsidTr="0077305E">
        <w:trPr>
          <w:jc w:val="center"/>
        </w:trPr>
        <w:tc>
          <w:tcPr>
            <w:tcW w:w="0" w:type="auto"/>
            <w:gridSpan w:val="2"/>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Auction Tenor &amp; Yield</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Standard Tenor &amp; Yield</w:t>
            </w:r>
          </w:p>
        </w:tc>
      </w:tr>
      <w:tr w:rsidR="00821F5E" w:rsidRPr="002A701B" w:rsidTr="0077305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Year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Cut off yield (%)</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Year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5" w:type="dxa"/>
              <w:left w:w="75" w:type="dxa"/>
              <w:bottom w:w="45" w:type="dxa"/>
              <w:right w:w="75" w:type="dxa"/>
            </w:tcMar>
            <w:vAlign w:val="center"/>
            <w:hideMark/>
          </w:tcPr>
          <w:p w:rsidR="00821F5E" w:rsidRPr="002A701B" w:rsidRDefault="00821F5E" w:rsidP="005549AC">
            <w:pPr>
              <w:jc w:val="center"/>
            </w:pPr>
            <w:r w:rsidRPr="002A701B">
              <w:t>Yield (%)</w:t>
            </w:r>
          </w:p>
        </w:tc>
      </w:tr>
      <w:tr w:rsidR="00821F5E" w:rsidRPr="002A701B" w:rsidTr="0077305E">
        <w:trPr>
          <w:jc w:val="center"/>
        </w:trPr>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2.00</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8.73</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2</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8.73</w:t>
            </w:r>
          </w:p>
        </w:tc>
      </w:tr>
      <w:tr w:rsidR="00821F5E" w:rsidRPr="002A701B" w:rsidTr="0077305E">
        <w:trPr>
          <w:jc w:val="center"/>
        </w:trPr>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4.50</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9.23</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rPr>
                <w:b/>
                <w:bCs/>
                <w:u w:val="single"/>
              </w:rPr>
            </w:pPr>
            <w:r w:rsidRPr="002A701B">
              <w:rPr>
                <w:b/>
                <w:bCs/>
                <w:u w:val="single"/>
              </w:rPr>
              <w:t>5</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rPr>
                <w:b/>
                <w:bCs/>
                <w:u w:val="single"/>
              </w:rPr>
            </w:pPr>
            <w:r w:rsidRPr="002A701B">
              <w:rPr>
                <w:b/>
                <w:bCs/>
                <w:u w:val="single"/>
              </w:rPr>
              <w:t>9.23</w:t>
            </w:r>
          </w:p>
        </w:tc>
      </w:tr>
      <w:tr w:rsidR="00821F5E" w:rsidRPr="002A701B" w:rsidTr="0077305E">
        <w:trPr>
          <w:jc w:val="center"/>
        </w:trPr>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9.92</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9.27</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10</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9.27</w:t>
            </w:r>
          </w:p>
        </w:tc>
      </w:tr>
      <w:tr w:rsidR="00821F5E" w:rsidRPr="002A701B" w:rsidTr="0077305E">
        <w:trPr>
          <w:jc w:val="center"/>
        </w:trPr>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14.18</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9.53</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15</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9.57</w:t>
            </w:r>
          </w:p>
        </w:tc>
      </w:tr>
      <w:tr w:rsidR="00821F5E" w:rsidRPr="002A701B" w:rsidTr="0077305E">
        <w:trPr>
          <w:trHeight w:val="398"/>
          <w:jc w:val="center"/>
        </w:trPr>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19.75</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9.78</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20</w:t>
            </w:r>
          </w:p>
        </w:tc>
        <w:tc>
          <w:tcPr>
            <w:tcW w:w="0" w:type="auto"/>
            <w:tcBorders>
              <w:top w:val="outset" w:sz="6" w:space="0" w:color="auto"/>
              <w:left w:val="single" w:sz="6" w:space="0" w:color="AAAAAA"/>
              <w:bottom w:val="outset" w:sz="6" w:space="0" w:color="auto"/>
              <w:right w:val="single" w:sz="6" w:space="0" w:color="AAAAAA"/>
            </w:tcBorders>
            <w:shd w:val="clear" w:color="auto" w:fill="FFFFFF"/>
            <w:tcMar>
              <w:top w:w="45" w:type="dxa"/>
              <w:left w:w="75" w:type="dxa"/>
              <w:bottom w:w="45" w:type="dxa"/>
              <w:right w:w="75" w:type="dxa"/>
            </w:tcMar>
            <w:hideMark/>
          </w:tcPr>
          <w:p w:rsidR="00821F5E" w:rsidRPr="002A701B" w:rsidRDefault="00821F5E" w:rsidP="005549AC">
            <w:pPr>
              <w:jc w:val="center"/>
            </w:pPr>
            <w:r w:rsidRPr="002A701B">
              <w:t>9.79</w:t>
            </w:r>
          </w:p>
        </w:tc>
      </w:tr>
    </w:tbl>
    <w:p w:rsidR="0077305E" w:rsidRPr="002A701B" w:rsidRDefault="0077305E" w:rsidP="0077305E">
      <w:pPr>
        <w:spacing w:line="360" w:lineRule="auto"/>
        <w:jc w:val="right"/>
      </w:pPr>
      <w:hyperlink r:id="rId12" w:history="1">
        <w:r w:rsidRPr="002A701B">
          <w:rPr>
            <w:rStyle w:val="Hyperlink"/>
          </w:rPr>
          <w:t>https://bb.org.bd/monetaryactivity/treasury.php</w:t>
        </w:r>
      </w:hyperlink>
    </w:p>
    <w:p w:rsidR="0077305E" w:rsidRPr="002A701B" w:rsidRDefault="00117290" w:rsidP="0077305E">
      <w:pPr>
        <w:pStyle w:val="ListParagraph"/>
        <w:numPr>
          <w:ilvl w:val="0"/>
          <w:numId w:val="4"/>
        </w:numPr>
        <w:spacing w:line="360" w:lineRule="auto"/>
        <w:rPr>
          <w:b/>
          <w:bCs/>
        </w:rPr>
      </w:pPr>
      <w:r w:rsidRPr="002A701B">
        <w:rPr>
          <w:b/>
          <w:bCs/>
        </w:rPr>
        <w:t>Choice Cards</w:t>
      </w:r>
    </w:p>
    <w:p w:rsidR="0077305E" w:rsidRPr="002A701B" w:rsidRDefault="002A701B" w:rsidP="0077305E">
      <w:pPr>
        <w:spacing w:line="360" w:lineRule="auto"/>
      </w:pPr>
      <w:r w:rsidRPr="002A701B">
        <w:drawing>
          <wp:anchor distT="0" distB="0" distL="114300" distR="114300" simplePos="0" relativeHeight="251658240" behindDoc="0" locked="0" layoutInCell="1" allowOverlap="1" wp14:anchorId="56F8D777">
            <wp:simplePos x="0" y="0"/>
            <wp:positionH relativeFrom="column">
              <wp:posOffset>-102870</wp:posOffset>
            </wp:positionH>
            <wp:positionV relativeFrom="paragraph">
              <wp:posOffset>226060</wp:posOffset>
            </wp:positionV>
            <wp:extent cx="3009900" cy="200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14:sizeRelH relativeFrom="page">
              <wp14:pctWidth>0</wp14:pctWidth>
            </wp14:sizeRelH>
            <wp14:sizeRelV relativeFrom="page">
              <wp14:pctHeight>0</wp14:pctHeight>
            </wp14:sizeRelV>
          </wp:anchor>
        </w:drawing>
      </w:r>
      <w:r w:rsidRPr="002A701B">
        <w:drawing>
          <wp:anchor distT="0" distB="0" distL="114300" distR="114300" simplePos="0" relativeHeight="251659264" behindDoc="0" locked="0" layoutInCell="1" allowOverlap="1" wp14:anchorId="0F210149">
            <wp:simplePos x="0" y="0"/>
            <wp:positionH relativeFrom="column">
              <wp:posOffset>3057525</wp:posOffset>
            </wp:positionH>
            <wp:positionV relativeFrom="paragraph">
              <wp:posOffset>224058</wp:posOffset>
            </wp:positionV>
            <wp:extent cx="3009900" cy="2006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14:sizeRelH relativeFrom="page">
              <wp14:pctWidth>0</wp14:pctWidth>
            </wp14:sizeRelH>
            <wp14:sizeRelV relativeFrom="page">
              <wp14:pctHeight>0</wp14:pctHeight>
            </wp14:sizeRelV>
          </wp:anchor>
        </w:drawing>
      </w:r>
    </w:p>
    <w:p w:rsidR="00117290" w:rsidRPr="002A701B" w:rsidRDefault="002A701B" w:rsidP="0077305E">
      <w:pPr>
        <w:spacing w:line="360" w:lineRule="auto"/>
      </w:pPr>
      <w:r w:rsidRPr="002A701B">
        <w:drawing>
          <wp:anchor distT="0" distB="0" distL="114300" distR="114300" simplePos="0" relativeHeight="251660288" behindDoc="0" locked="0" layoutInCell="1" allowOverlap="1" wp14:anchorId="2222BDB4">
            <wp:simplePos x="0" y="0"/>
            <wp:positionH relativeFrom="column">
              <wp:posOffset>3057525</wp:posOffset>
            </wp:positionH>
            <wp:positionV relativeFrom="paragraph">
              <wp:posOffset>2299970</wp:posOffset>
            </wp:positionV>
            <wp:extent cx="3009900" cy="19431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1943100"/>
                    </a:xfrm>
                    <a:prstGeom prst="rect">
                      <a:avLst/>
                    </a:prstGeom>
                  </pic:spPr>
                </pic:pic>
              </a:graphicData>
            </a:graphic>
            <wp14:sizeRelH relativeFrom="page">
              <wp14:pctWidth>0</wp14:pctWidth>
            </wp14:sizeRelH>
            <wp14:sizeRelV relativeFrom="page">
              <wp14:pctHeight>0</wp14:pctHeight>
            </wp14:sizeRelV>
          </wp:anchor>
        </w:drawing>
      </w:r>
      <w:r w:rsidRPr="002A701B">
        <w:drawing>
          <wp:anchor distT="0" distB="0" distL="114300" distR="114300" simplePos="0" relativeHeight="251662336" behindDoc="1" locked="0" layoutInCell="1" allowOverlap="1" wp14:anchorId="633CCAE2">
            <wp:simplePos x="0" y="0"/>
            <wp:positionH relativeFrom="column">
              <wp:posOffset>-102946</wp:posOffset>
            </wp:positionH>
            <wp:positionV relativeFrom="paragraph">
              <wp:posOffset>2303725</wp:posOffset>
            </wp:positionV>
            <wp:extent cx="3009900" cy="19431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9900" cy="1943100"/>
                    </a:xfrm>
                    <a:prstGeom prst="rect">
                      <a:avLst/>
                    </a:prstGeom>
                  </pic:spPr>
                </pic:pic>
              </a:graphicData>
            </a:graphic>
            <wp14:sizeRelH relativeFrom="page">
              <wp14:pctWidth>0</wp14:pctWidth>
            </wp14:sizeRelH>
            <wp14:sizeRelV relativeFrom="page">
              <wp14:pctHeight>0</wp14:pctHeight>
            </wp14:sizeRelV>
          </wp:anchor>
        </w:drawing>
      </w:r>
    </w:p>
    <w:p w:rsidR="002A701B" w:rsidRDefault="002A701B" w:rsidP="002A701B"/>
    <w:p w:rsidR="002A701B" w:rsidRDefault="002A701B" w:rsidP="002A701B"/>
    <w:p w:rsidR="002A701B" w:rsidRDefault="002A701B" w:rsidP="002A701B"/>
    <w:p w:rsidR="002A701B" w:rsidRDefault="002A701B" w:rsidP="002A701B"/>
    <w:p w:rsidR="002A701B" w:rsidRDefault="002A701B" w:rsidP="002A701B"/>
    <w:p w:rsidR="002A701B" w:rsidRDefault="002A701B" w:rsidP="002A701B"/>
    <w:p w:rsidR="000E6A30" w:rsidRDefault="000E6A30" w:rsidP="002A701B"/>
    <w:p w:rsidR="00117290" w:rsidRDefault="002A701B" w:rsidP="002A701B">
      <w:r w:rsidRPr="002A701B">
        <w:drawing>
          <wp:anchor distT="0" distB="0" distL="114300" distR="114300" simplePos="0" relativeHeight="251661312" behindDoc="0" locked="0" layoutInCell="1" allowOverlap="1" wp14:anchorId="647FD0D8">
            <wp:simplePos x="0" y="0"/>
            <wp:positionH relativeFrom="column">
              <wp:posOffset>-103514</wp:posOffset>
            </wp:positionH>
            <wp:positionV relativeFrom="paragraph">
              <wp:posOffset>227</wp:posOffset>
            </wp:positionV>
            <wp:extent cx="3009900" cy="19431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1943100"/>
                    </a:xfrm>
                    <a:prstGeom prst="rect">
                      <a:avLst/>
                    </a:prstGeom>
                  </pic:spPr>
                </pic:pic>
              </a:graphicData>
            </a:graphic>
            <wp14:sizeRelH relativeFrom="page">
              <wp14:pctWidth>0</wp14:pctWidth>
            </wp14:sizeRelH>
            <wp14:sizeRelV relativeFrom="page">
              <wp14:pctHeight>0</wp14:pctHeight>
            </wp14:sizeRelV>
          </wp:anchor>
        </w:drawing>
      </w:r>
      <w:r w:rsidRPr="002A701B">
        <w:drawing>
          <wp:anchor distT="0" distB="0" distL="114300" distR="114300" simplePos="0" relativeHeight="251663360" behindDoc="0" locked="0" layoutInCell="1" allowOverlap="1" wp14:anchorId="6BD9FD5C">
            <wp:simplePos x="0" y="0"/>
            <wp:positionH relativeFrom="column">
              <wp:posOffset>3227650</wp:posOffset>
            </wp:positionH>
            <wp:positionV relativeFrom="paragraph">
              <wp:posOffset>172</wp:posOffset>
            </wp:positionV>
            <wp:extent cx="3009900" cy="19431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9900" cy="1943100"/>
                    </a:xfrm>
                    <a:prstGeom prst="rect">
                      <a:avLst/>
                    </a:prstGeom>
                  </pic:spPr>
                </pic:pic>
              </a:graphicData>
            </a:graphic>
            <wp14:sizeRelH relativeFrom="page">
              <wp14:pctWidth>0</wp14:pctWidth>
            </wp14:sizeRelH>
            <wp14:sizeRelV relativeFrom="page">
              <wp14:pctHeight>0</wp14:pctHeight>
            </wp14:sizeRelV>
          </wp:anchor>
        </w:drawing>
      </w:r>
    </w:p>
    <w:p w:rsidR="000E6A30" w:rsidRDefault="000E6A30" w:rsidP="002A701B"/>
    <w:p w:rsidR="000E6A30" w:rsidRDefault="000E6A30" w:rsidP="002A701B"/>
    <w:p w:rsidR="000E6A30" w:rsidRPr="002A701B" w:rsidRDefault="000E6A30" w:rsidP="002A701B"/>
    <w:p w:rsidR="000E6A30" w:rsidRPr="000E6A30" w:rsidRDefault="002A701B" w:rsidP="000E6A30">
      <w:pPr>
        <w:pStyle w:val="ListParagraph"/>
        <w:numPr>
          <w:ilvl w:val="0"/>
          <w:numId w:val="4"/>
        </w:numPr>
        <w:spacing w:line="360" w:lineRule="auto"/>
        <w:rPr>
          <w:b/>
          <w:bCs/>
        </w:rPr>
      </w:pPr>
      <w:r>
        <w:rPr>
          <w:b/>
          <w:bCs/>
        </w:rPr>
        <w:t>Top Performing Stocks</w:t>
      </w:r>
    </w:p>
    <w:p w:rsidR="000E6A30" w:rsidRPr="000E6A30" w:rsidRDefault="000E6A30" w:rsidP="000E6A30">
      <w:pPr>
        <w:spacing w:line="360" w:lineRule="auto"/>
        <w:rPr>
          <w:b/>
          <w:bCs/>
        </w:rPr>
      </w:pPr>
    </w:p>
    <w:tbl>
      <w:tblPr>
        <w:tblW w:w="7173" w:type="dxa"/>
        <w:jc w:val="center"/>
        <w:tblLook w:val="04A0" w:firstRow="1" w:lastRow="0" w:firstColumn="1" w:lastColumn="0" w:noHBand="0" w:noVBand="1"/>
      </w:tblPr>
      <w:tblGrid>
        <w:gridCol w:w="2293"/>
        <w:gridCol w:w="1540"/>
        <w:gridCol w:w="1980"/>
        <w:gridCol w:w="1360"/>
      </w:tblGrid>
      <w:tr w:rsidR="00761934" w:rsidTr="00761934">
        <w:trPr>
          <w:trHeight w:val="320"/>
          <w:jc w:val="center"/>
        </w:trPr>
        <w:tc>
          <w:tcPr>
            <w:tcW w:w="229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1934" w:rsidRDefault="00761934">
            <w:pPr>
              <w:ind w:firstLineChars="400" w:firstLine="964"/>
              <w:rPr>
                <w:b/>
                <w:bCs/>
                <w:color w:val="000000"/>
              </w:rPr>
            </w:pPr>
            <w:r>
              <w:rPr>
                <w:b/>
                <w:bCs/>
                <w:color w:val="000000"/>
              </w:rPr>
              <w:t>Symbol</w:t>
            </w:r>
          </w:p>
        </w:tc>
        <w:tc>
          <w:tcPr>
            <w:tcW w:w="1540" w:type="dxa"/>
            <w:tcBorders>
              <w:top w:val="single" w:sz="4" w:space="0" w:color="auto"/>
              <w:left w:val="nil"/>
              <w:bottom w:val="single" w:sz="4" w:space="0" w:color="auto"/>
              <w:right w:val="single" w:sz="4" w:space="0" w:color="auto"/>
            </w:tcBorders>
            <w:shd w:val="clear" w:color="000000" w:fill="F2F2F2"/>
            <w:noWrap/>
            <w:vAlign w:val="bottom"/>
            <w:hideMark/>
          </w:tcPr>
          <w:p w:rsidR="00761934" w:rsidRDefault="00761934">
            <w:pPr>
              <w:rPr>
                <w:color w:val="000000"/>
              </w:rPr>
            </w:pPr>
            <w:r>
              <w:rPr>
                <w:color w:val="000000"/>
              </w:rPr>
              <w:t>Annual Return</w:t>
            </w:r>
          </w:p>
        </w:tc>
        <w:tc>
          <w:tcPr>
            <w:tcW w:w="1980" w:type="dxa"/>
            <w:tcBorders>
              <w:top w:val="single" w:sz="4" w:space="0" w:color="auto"/>
              <w:left w:val="nil"/>
              <w:bottom w:val="single" w:sz="4" w:space="0" w:color="auto"/>
              <w:right w:val="single" w:sz="4" w:space="0" w:color="auto"/>
            </w:tcBorders>
            <w:shd w:val="clear" w:color="000000" w:fill="F2F2F2"/>
            <w:noWrap/>
            <w:vAlign w:val="bottom"/>
            <w:hideMark/>
          </w:tcPr>
          <w:p w:rsidR="00761934" w:rsidRDefault="00761934">
            <w:pPr>
              <w:rPr>
                <w:color w:val="000000"/>
              </w:rPr>
            </w:pPr>
            <w:r>
              <w:rPr>
                <w:color w:val="000000"/>
              </w:rPr>
              <w:t>Standard Deviation</w:t>
            </w:r>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rsidR="00761934" w:rsidRDefault="00761934">
            <w:pPr>
              <w:rPr>
                <w:color w:val="000000"/>
              </w:rPr>
            </w:pPr>
            <w:r>
              <w:rPr>
                <w:color w:val="000000"/>
              </w:rPr>
              <w:t>Sharpe Ratio</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KAY&amp;QUE</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79%</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57%</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1.23</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STANCERAM</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66%</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51%</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1.11</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RENWICKJA</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55%</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46%</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1.01</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 xml:space="preserve">AZIZPIPES </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59%</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51%</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0.97</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BDAUTOCA</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64%</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61%</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0.88</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MONNOCERA</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55%</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57%</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0.80</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DAFODILCOM</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35%</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39%</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0.67</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RAHIMAFOOD</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41%</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48%</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0.66</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DULAMIACOT</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52%</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67%</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0.64</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SONALIANSH</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37%</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47%</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0.59</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AZIZPIPES</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53%</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74%</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0.59</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MONNOSTAF</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43%</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61%</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0.56</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UPGDCL</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29%</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37%</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0.54</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NORTHERN</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37%</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54%</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0.51</w:t>
            </w:r>
          </w:p>
        </w:tc>
      </w:tr>
      <w:tr w:rsidR="00761934" w:rsidTr="00761934">
        <w:trPr>
          <w:trHeight w:val="320"/>
          <w:jc w:val="center"/>
        </w:trPr>
        <w:tc>
          <w:tcPr>
            <w:tcW w:w="2293" w:type="dxa"/>
            <w:tcBorders>
              <w:top w:val="nil"/>
              <w:left w:val="single" w:sz="4" w:space="0" w:color="auto"/>
              <w:bottom w:val="single" w:sz="4" w:space="0" w:color="auto"/>
              <w:right w:val="single" w:sz="4" w:space="0" w:color="auto"/>
            </w:tcBorders>
            <w:shd w:val="clear" w:color="auto" w:fill="auto"/>
            <w:noWrap/>
            <w:vAlign w:val="bottom"/>
            <w:hideMark/>
          </w:tcPr>
          <w:p w:rsidR="00761934" w:rsidRDefault="00761934">
            <w:pPr>
              <w:rPr>
                <w:color w:val="000000"/>
              </w:rPr>
            </w:pPr>
            <w:r>
              <w:rPr>
                <w:color w:val="000000"/>
              </w:rPr>
              <w:t>RECKITTBEN</w:t>
            </w:r>
          </w:p>
        </w:tc>
        <w:tc>
          <w:tcPr>
            <w:tcW w:w="154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25%</w:t>
            </w:r>
          </w:p>
        </w:tc>
        <w:tc>
          <w:tcPr>
            <w:tcW w:w="198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31%</w:t>
            </w:r>
          </w:p>
        </w:tc>
        <w:tc>
          <w:tcPr>
            <w:tcW w:w="1360" w:type="dxa"/>
            <w:tcBorders>
              <w:top w:val="nil"/>
              <w:left w:val="nil"/>
              <w:bottom w:val="single" w:sz="4" w:space="0" w:color="auto"/>
              <w:right w:val="single" w:sz="4" w:space="0" w:color="auto"/>
            </w:tcBorders>
            <w:shd w:val="clear" w:color="auto" w:fill="auto"/>
            <w:noWrap/>
            <w:vAlign w:val="bottom"/>
            <w:hideMark/>
          </w:tcPr>
          <w:p w:rsidR="00761934" w:rsidRDefault="00761934">
            <w:pPr>
              <w:jc w:val="right"/>
              <w:rPr>
                <w:color w:val="000000"/>
              </w:rPr>
            </w:pPr>
            <w:r>
              <w:rPr>
                <w:color w:val="000000"/>
              </w:rPr>
              <w:t>0.51</w:t>
            </w:r>
          </w:p>
        </w:tc>
      </w:tr>
    </w:tbl>
    <w:p w:rsidR="002A701B" w:rsidRDefault="002A701B"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0E6A30" w:rsidRDefault="000E6A30" w:rsidP="002A701B">
      <w:pPr>
        <w:pStyle w:val="ListParagraph"/>
        <w:spacing w:line="360" w:lineRule="auto"/>
        <w:rPr>
          <w:b/>
          <w:bCs/>
        </w:rPr>
      </w:pPr>
    </w:p>
    <w:p w:rsidR="00761934" w:rsidRDefault="000E6A30" w:rsidP="00761934">
      <w:pPr>
        <w:pStyle w:val="ListParagraph"/>
        <w:numPr>
          <w:ilvl w:val="0"/>
          <w:numId w:val="4"/>
        </w:numPr>
        <w:spacing w:line="360" w:lineRule="auto"/>
        <w:rPr>
          <w:b/>
          <w:bCs/>
        </w:rPr>
      </w:pPr>
      <w:r w:rsidRPr="000E6A30">
        <w:rPr>
          <w:b/>
          <w:bCs/>
        </w:rPr>
        <w:drawing>
          <wp:anchor distT="0" distB="0" distL="114300" distR="114300" simplePos="0" relativeHeight="251664384" behindDoc="0" locked="0" layoutInCell="1" allowOverlap="1" wp14:anchorId="4DD635F1">
            <wp:simplePos x="0" y="0"/>
            <wp:positionH relativeFrom="column">
              <wp:posOffset>36132</wp:posOffset>
            </wp:positionH>
            <wp:positionV relativeFrom="paragraph">
              <wp:posOffset>344371</wp:posOffset>
            </wp:positionV>
            <wp:extent cx="5727700" cy="356933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7700" cy="3569335"/>
                    </a:xfrm>
                    <a:prstGeom prst="rect">
                      <a:avLst/>
                    </a:prstGeom>
                  </pic:spPr>
                </pic:pic>
              </a:graphicData>
            </a:graphic>
            <wp14:sizeRelH relativeFrom="page">
              <wp14:pctWidth>0</wp14:pctWidth>
            </wp14:sizeRelH>
            <wp14:sizeRelV relativeFrom="page">
              <wp14:pctHeight>0</wp14:pctHeight>
            </wp14:sizeRelV>
          </wp:anchor>
        </w:drawing>
      </w:r>
      <w:r w:rsidR="00761934">
        <w:rPr>
          <w:b/>
          <w:bCs/>
        </w:rPr>
        <w:t>Correlations of Stocks</w:t>
      </w:r>
    </w:p>
    <w:p w:rsidR="00761934" w:rsidRDefault="00761934"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BD0DC5" w:rsidRDefault="00BD0DC5" w:rsidP="000E6A30">
      <w:pPr>
        <w:pStyle w:val="ListParagraph"/>
        <w:spacing w:line="360" w:lineRule="auto"/>
        <w:jc w:val="center"/>
        <w:rPr>
          <w:b/>
          <w:bCs/>
        </w:rPr>
      </w:pPr>
    </w:p>
    <w:p w:rsidR="002A701B" w:rsidRDefault="00BD0DC5" w:rsidP="00EB60EA">
      <w:pPr>
        <w:pStyle w:val="ListParagraph"/>
        <w:numPr>
          <w:ilvl w:val="0"/>
          <w:numId w:val="4"/>
        </w:numPr>
        <w:spacing w:line="360" w:lineRule="auto"/>
        <w:rPr>
          <w:b/>
          <w:bCs/>
        </w:rPr>
      </w:pPr>
      <w:r>
        <w:rPr>
          <w:b/>
          <w:bCs/>
        </w:rPr>
        <w:t>Portfolio Risk-Return of Risky Assets</w:t>
      </w:r>
    </w:p>
    <w:p w:rsidR="00BD0DC5" w:rsidRPr="00BD0DC5" w:rsidRDefault="00BD0DC5" w:rsidP="00BD0DC5">
      <w:pPr>
        <w:spacing w:line="360" w:lineRule="auto"/>
        <w:rPr>
          <w:b/>
          <w:bCs/>
        </w:rPr>
      </w:pPr>
    </w:p>
    <w:tbl>
      <w:tblPr>
        <w:tblW w:w="6900" w:type="dxa"/>
        <w:jc w:val="center"/>
        <w:tblLook w:val="04A0" w:firstRow="1" w:lastRow="0" w:firstColumn="1" w:lastColumn="0" w:noHBand="0" w:noVBand="1"/>
      </w:tblPr>
      <w:tblGrid>
        <w:gridCol w:w="1034"/>
        <w:gridCol w:w="1555"/>
        <w:gridCol w:w="1700"/>
        <w:gridCol w:w="1360"/>
        <w:gridCol w:w="1400"/>
      </w:tblGrid>
      <w:tr w:rsidR="00BD0DC5" w:rsidRPr="00BD0DC5" w:rsidTr="00BD0DC5">
        <w:trPr>
          <w:trHeight w:val="74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D0DC5" w:rsidRPr="00BD0DC5" w:rsidRDefault="00BD0DC5" w:rsidP="00BD0DC5">
            <w:pPr>
              <w:rPr>
                <w:rFonts w:ascii="Calibri" w:hAnsi="Calibri"/>
                <w:b/>
                <w:bCs/>
                <w:color w:val="000000"/>
              </w:rPr>
            </w:pPr>
            <w:r w:rsidRPr="00BD0DC5">
              <w:rPr>
                <w:rFonts w:ascii="Calibri" w:hAnsi="Calibri"/>
                <w:b/>
                <w:bCs/>
                <w:color w:val="000000"/>
              </w:rPr>
              <w:t>UPGDCL</w:t>
            </w:r>
          </w:p>
        </w:tc>
        <w:tc>
          <w:tcPr>
            <w:tcW w:w="1480" w:type="dxa"/>
            <w:tcBorders>
              <w:top w:val="single" w:sz="4" w:space="0" w:color="auto"/>
              <w:left w:val="nil"/>
              <w:bottom w:val="single" w:sz="4" w:space="0" w:color="auto"/>
              <w:right w:val="single" w:sz="4" w:space="0" w:color="auto"/>
            </w:tcBorders>
            <w:shd w:val="clear" w:color="000000" w:fill="D9D9D9"/>
            <w:noWrap/>
            <w:vAlign w:val="center"/>
            <w:hideMark/>
          </w:tcPr>
          <w:p w:rsidR="00BD0DC5" w:rsidRPr="00BD0DC5" w:rsidRDefault="00BD0DC5" w:rsidP="00BD0DC5">
            <w:pPr>
              <w:rPr>
                <w:rFonts w:ascii="Calibri" w:hAnsi="Calibri"/>
                <w:b/>
                <w:bCs/>
                <w:color w:val="000000"/>
              </w:rPr>
            </w:pPr>
            <w:r w:rsidRPr="00BD0DC5">
              <w:rPr>
                <w:rFonts w:ascii="Calibri" w:hAnsi="Calibri"/>
                <w:b/>
                <w:bCs/>
                <w:color w:val="000000"/>
              </w:rPr>
              <w:t>MONNOSTAF</w:t>
            </w:r>
          </w:p>
        </w:tc>
        <w:tc>
          <w:tcPr>
            <w:tcW w:w="1700" w:type="dxa"/>
            <w:tcBorders>
              <w:top w:val="single" w:sz="4" w:space="0" w:color="auto"/>
              <w:left w:val="nil"/>
              <w:bottom w:val="single" w:sz="4" w:space="0" w:color="auto"/>
              <w:right w:val="single" w:sz="4" w:space="0" w:color="auto"/>
            </w:tcBorders>
            <w:shd w:val="clear" w:color="000000" w:fill="D9D9D9"/>
            <w:noWrap/>
            <w:vAlign w:val="center"/>
            <w:hideMark/>
          </w:tcPr>
          <w:p w:rsidR="00BD0DC5" w:rsidRPr="00BD0DC5" w:rsidRDefault="00BD0DC5" w:rsidP="00BD0DC5">
            <w:pPr>
              <w:rPr>
                <w:rFonts w:ascii="Calibri" w:hAnsi="Calibri"/>
                <w:b/>
                <w:bCs/>
                <w:color w:val="000000"/>
              </w:rPr>
            </w:pPr>
            <w:r w:rsidRPr="00BD0DC5">
              <w:rPr>
                <w:rFonts w:ascii="Calibri" w:hAnsi="Calibri"/>
                <w:b/>
                <w:bCs/>
                <w:color w:val="000000"/>
              </w:rPr>
              <w:t>Portfolio Return</w:t>
            </w:r>
          </w:p>
        </w:tc>
        <w:tc>
          <w:tcPr>
            <w:tcW w:w="1360" w:type="dxa"/>
            <w:tcBorders>
              <w:top w:val="single" w:sz="4" w:space="0" w:color="auto"/>
              <w:left w:val="nil"/>
              <w:bottom w:val="single" w:sz="4" w:space="0" w:color="auto"/>
              <w:right w:val="single" w:sz="4" w:space="0" w:color="auto"/>
            </w:tcBorders>
            <w:shd w:val="clear" w:color="000000" w:fill="D9D9D9"/>
            <w:noWrap/>
            <w:vAlign w:val="center"/>
            <w:hideMark/>
          </w:tcPr>
          <w:p w:rsidR="00BD0DC5" w:rsidRPr="00BD0DC5" w:rsidRDefault="00BD0DC5" w:rsidP="00BD0DC5">
            <w:pPr>
              <w:rPr>
                <w:rFonts w:ascii="Calibri" w:hAnsi="Calibri"/>
                <w:b/>
                <w:bCs/>
                <w:color w:val="000000"/>
              </w:rPr>
            </w:pPr>
            <w:r w:rsidRPr="00BD0DC5">
              <w:rPr>
                <w:rFonts w:ascii="Calibri" w:hAnsi="Calibri"/>
                <w:b/>
                <w:bCs/>
                <w:color w:val="000000"/>
              </w:rPr>
              <w:t>Portfolio Std</w:t>
            </w:r>
          </w:p>
        </w:tc>
        <w:tc>
          <w:tcPr>
            <w:tcW w:w="1400" w:type="dxa"/>
            <w:tcBorders>
              <w:top w:val="single" w:sz="4" w:space="0" w:color="auto"/>
              <w:left w:val="nil"/>
              <w:bottom w:val="single" w:sz="4" w:space="0" w:color="auto"/>
              <w:right w:val="single" w:sz="4" w:space="0" w:color="auto"/>
            </w:tcBorders>
            <w:shd w:val="clear" w:color="000000" w:fill="D9D9D9"/>
            <w:vAlign w:val="center"/>
            <w:hideMark/>
          </w:tcPr>
          <w:p w:rsidR="00BD0DC5" w:rsidRPr="00BD0DC5" w:rsidRDefault="00BD0DC5" w:rsidP="00BD0DC5">
            <w:pPr>
              <w:rPr>
                <w:rFonts w:ascii="Calibri" w:hAnsi="Calibri"/>
                <w:b/>
                <w:bCs/>
                <w:color w:val="000000"/>
              </w:rPr>
            </w:pPr>
            <w:r w:rsidRPr="00BD0DC5">
              <w:rPr>
                <w:rFonts w:ascii="Calibri" w:hAnsi="Calibri"/>
                <w:b/>
                <w:bCs/>
                <w:color w:val="000000"/>
              </w:rPr>
              <w:t>Portfolio Sharpe Ratio</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100%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43%</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61%</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0.56</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95%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43%</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58%</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0.58</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90%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42%</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55%</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0.59</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85%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41%</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52%</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0.61</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20%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80%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40%</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49%</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0.63</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25%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75%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40%</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46%</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0.65</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70%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39%</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44%</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0.68</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65%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38%</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41%</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0.70</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60%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37%</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39%</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0.72</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37%</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37%</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0.74</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36%</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35%</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0.76</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45%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35%</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34%</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0.77</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BD0DC5" w:rsidRPr="00BD0DC5" w:rsidRDefault="00BD0DC5" w:rsidP="00BD0DC5">
            <w:pPr>
              <w:jc w:val="right"/>
              <w:rPr>
                <w:rFonts w:ascii="Calibri" w:hAnsi="Calibri"/>
                <w:b/>
                <w:bCs/>
                <w:color w:val="000000"/>
                <w:u w:val="single"/>
              </w:rPr>
            </w:pPr>
            <w:r w:rsidRPr="00BD0DC5">
              <w:rPr>
                <w:rFonts w:ascii="Calibri" w:hAnsi="Calibri"/>
                <w:b/>
                <w:bCs/>
                <w:color w:val="000000"/>
                <w:u w:val="single"/>
              </w:rPr>
              <w:t>60%</w:t>
            </w:r>
          </w:p>
        </w:tc>
        <w:tc>
          <w:tcPr>
            <w:tcW w:w="1480" w:type="dxa"/>
            <w:tcBorders>
              <w:top w:val="nil"/>
              <w:left w:val="nil"/>
              <w:bottom w:val="single" w:sz="4" w:space="0" w:color="auto"/>
              <w:right w:val="single" w:sz="4" w:space="0" w:color="auto"/>
            </w:tcBorders>
            <w:shd w:val="clear" w:color="000000" w:fill="D9D9D9"/>
            <w:noWrap/>
            <w:vAlign w:val="bottom"/>
            <w:hideMark/>
          </w:tcPr>
          <w:p w:rsidR="00BD0DC5" w:rsidRPr="00BD0DC5" w:rsidRDefault="00BD0DC5" w:rsidP="00BD0DC5">
            <w:pPr>
              <w:jc w:val="right"/>
              <w:rPr>
                <w:rFonts w:ascii="Calibri" w:hAnsi="Calibri"/>
                <w:b/>
                <w:bCs/>
                <w:color w:val="000000"/>
                <w:u w:val="single"/>
              </w:rPr>
            </w:pPr>
            <w:r w:rsidRPr="00BD0DC5">
              <w:rPr>
                <w:rFonts w:ascii="Calibri" w:hAnsi="Calibri"/>
                <w:b/>
                <w:bCs/>
                <w:color w:val="000000"/>
                <w:u w:val="single"/>
              </w:rPr>
              <w:t>40%</w:t>
            </w:r>
          </w:p>
        </w:tc>
        <w:tc>
          <w:tcPr>
            <w:tcW w:w="1700" w:type="dxa"/>
            <w:tcBorders>
              <w:top w:val="nil"/>
              <w:left w:val="nil"/>
              <w:bottom w:val="single" w:sz="4" w:space="0" w:color="auto"/>
              <w:right w:val="single" w:sz="4" w:space="0" w:color="auto"/>
            </w:tcBorders>
            <w:shd w:val="clear" w:color="000000" w:fill="D9D9D9"/>
            <w:noWrap/>
            <w:vAlign w:val="bottom"/>
            <w:hideMark/>
          </w:tcPr>
          <w:p w:rsidR="00BD0DC5" w:rsidRPr="00BD0DC5" w:rsidRDefault="00BD0DC5" w:rsidP="00BD0DC5">
            <w:pPr>
              <w:jc w:val="right"/>
              <w:rPr>
                <w:rFonts w:ascii="Calibri" w:hAnsi="Calibri"/>
                <w:b/>
                <w:bCs/>
                <w:color w:val="000000"/>
                <w:u w:val="single"/>
              </w:rPr>
            </w:pPr>
            <w:r w:rsidRPr="00BD0DC5">
              <w:rPr>
                <w:rFonts w:ascii="Calibri" w:hAnsi="Calibri"/>
                <w:b/>
                <w:bCs/>
                <w:color w:val="000000"/>
                <w:u w:val="single"/>
              </w:rPr>
              <w:t>35%</w:t>
            </w:r>
          </w:p>
        </w:tc>
        <w:tc>
          <w:tcPr>
            <w:tcW w:w="1360" w:type="dxa"/>
            <w:tcBorders>
              <w:top w:val="nil"/>
              <w:left w:val="nil"/>
              <w:bottom w:val="single" w:sz="4" w:space="0" w:color="auto"/>
              <w:right w:val="single" w:sz="4" w:space="0" w:color="auto"/>
            </w:tcBorders>
            <w:shd w:val="clear" w:color="000000" w:fill="D9D9D9"/>
            <w:noWrap/>
            <w:vAlign w:val="bottom"/>
            <w:hideMark/>
          </w:tcPr>
          <w:p w:rsidR="00BD0DC5" w:rsidRPr="00BD0DC5" w:rsidRDefault="00BD0DC5" w:rsidP="00BD0DC5">
            <w:pPr>
              <w:jc w:val="right"/>
              <w:rPr>
                <w:rFonts w:ascii="Calibri" w:hAnsi="Calibri"/>
                <w:b/>
                <w:bCs/>
                <w:color w:val="000000"/>
                <w:u w:val="single"/>
              </w:rPr>
            </w:pPr>
            <w:r w:rsidRPr="00BD0DC5">
              <w:rPr>
                <w:rFonts w:ascii="Calibri" w:hAnsi="Calibri"/>
                <w:b/>
                <w:bCs/>
                <w:color w:val="000000"/>
                <w:u w:val="single"/>
              </w:rPr>
              <w:t>33%</w:t>
            </w:r>
          </w:p>
        </w:tc>
        <w:tc>
          <w:tcPr>
            <w:tcW w:w="1400" w:type="dxa"/>
            <w:tcBorders>
              <w:top w:val="nil"/>
              <w:left w:val="nil"/>
              <w:bottom w:val="single" w:sz="4" w:space="0" w:color="auto"/>
              <w:right w:val="single" w:sz="4" w:space="0" w:color="auto"/>
            </w:tcBorders>
            <w:shd w:val="clear" w:color="000000" w:fill="D9D9D9"/>
            <w:noWrap/>
            <w:vAlign w:val="bottom"/>
            <w:hideMark/>
          </w:tcPr>
          <w:p w:rsidR="00BD0DC5" w:rsidRPr="00BD0DC5" w:rsidRDefault="00BD0DC5" w:rsidP="00BD0DC5">
            <w:pPr>
              <w:jc w:val="right"/>
              <w:rPr>
                <w:rFonts w:ascii="Calibri" w:hAnsi="Calibri"/>
                <w:b/>
                <w:bCs/>
                <w:color w:val="000000"/>
                <w:u w:val="single"/>
              </w:rPr>
            </w:pPr>
            <w:r w:rsidRPr="00BD0DC5">
              <w:rPr>
                <w:rFonts w:ascii="Calibri" w:hAnsi="Calibri"/>
                <w:b/>
                <w:bCs/>
                <w:color w:val="000000"/>
                <w:u w:val="single"/>
              </w:rPr>
              <w:t>0.78</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65%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34%</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0.77</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70%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33%</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31%</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0.76</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75%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25%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32%</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31%</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0.74</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80%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20%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32%</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0.71</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85%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31%</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32%</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0.67</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90%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30%</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33%</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0.63</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95%</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30%</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35%</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0.58</w:t>
            </w:r>
          </w:p>
        </w:tc>
      </w:tr>
      <w:tr w:rsidR="00BD0DC5" w:rsidRPr="00BD0DC5" w:rsidTr="00BD0DC5">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100%</w:t>
            </w:r>
          </w:p>
        </w:tc>
        <w:tc>
          <w:tcPr>
            <w:tcW w:w="148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29%</w:t>
            </w:r>
          </w:p>
        </w:tc>
        <w:tc>
          <w:tcPr>
            <w:tcW w:w="136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37%</w:t>
            </w:r>
          </w:p>
        </w:tc>
        <w:tc>
          <w:tcPr>
            <w:tcW w:w="1400" w:type="dxa"/>
            <w:tcBorders>
              <w:top w:val="nil"/>
              <w:left w:val="nil"/>
              <w:bottom w:val="single" w:sz="4" w:space="0" w:color="auto"/>
              <w:right w:val="single" w:sz="4" w:space="0" w:color="auto"/>
            </w:tcBorders>
            <w:shd w:val="clear" w:color="auto" w:fill="auto"/>
            <w:noWrap/>
            <w:vAlign w:val="bottom"/>
            <w:hideMark/>
          </w:tcPr>
          <w:p w:rsidR="00BD0DC5" w:rsidRPr="00BD0DC5" w:rsidRDefault="00BD0DC5" w:rsidP="00BD0DC5">
            <w:pPr>
              <w:jc w:val="right"/>
              <w:rPr>
                <w:rFonts w:ascii="Calibri" w:hAnsi="Calibri"/>
                <w:color w:val="000000"/>
              </w:rPr>
            </w:pPr>
            <w:r w:rsidRPr="00BD0DC5">
              <w:rPr>
                <w:rFonts w:ascii="Calibri" w:hAnsi="Calibri"/>
                <w:color w:val="000000"/>
              </w:rPr>
              <w:t>0.54</w:t>
            </w:r>
          </w:p>
        </w:tc>
      </w:tr>
    </w:tbl>
    <w:p w:rsidR="002A701B" w:rsidRPr="002A701B" w:rsidRDefault="002A701B" w:rsidP="002A701B"/>
    <w:p w:rsidR="005549AC" w:rsidRDefault="005549AC">
      <w:r>
        <w:br w:type="page"/>
      </w:r>
    </w:p>
    <w:p w:rsidR="002A701B" w:rsidRPr="005549AC" w:rsidRDefault="005549AC" w:rsidP="005549AC">
      <w:pPr>
        <w:pStyle w:val="ListParagraph"/>
        <w:numPr>
          <w:ilvl w:val="0"/>
          <w:numId w:val="4"/>
        </w:numPr>
        <w:rPr>
          <w:b/>
          <w:bCs/>
        </w:rPr>
      </w:pPr>
      <w:r w:rsidRPr="005549AC">
        <w:rPr>
          <w:b/>
          <w:bCs/>
        </w:rPr>
        <w:lastRenderedPageBreak/>
        <w:t>Portfolio Risk Return with Risk Free Asset</w:t>
      </w:r>
    </w:p>
    <w:p w:rsidR="005549AC" w:rsidRDefault="005549AC" w:rsidP="005549AC">
      <w:pPr>
        <w:pStyle w:val="ListParagraph"/>
      </w:pPr>
    </w:p>
    <w:tbl>
      <w:tblPr>
        <w:tblW w:w="6805" w:type="dxa"/>
        <w:jc w:val="center"/>
        <w:tblLook w:val="04A0" w:firstRow="1" w:lastRow="0" w:firstColumn="1" w:lastColumn="0" w:noHBand="0" w:noVBand="1"/>
      </w:tblPr>
      <w:tblGrid>
        <w:gridCol w:w="1971"/>
        <w:gridCol w:w="1100"/>
        <w:gridCol w:w="1700"/>
        <w:gridCol w:w="2034"/>
      </w:tblGrid>
      <w:tr w:rsidR="005549AC" w:rsidRPr="005549AC" w:rsidTr="005549AC">
        <w:trPr>
          <w:trHeight w:val="320"/>
          <w:jc w:val="center"/>
        </w:trPr>
        <w:tc>
          <w:tcPr>
            <w:tcW w:w="197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549AC" w:rsidRPr="005549AC" w:rsidRDefault="005549AC" w:rsidP="005549AC">
            <w:pPr>
              <w:rPr>
                <w:b/>
                <w:bCs/>
                <w:color w:val="000000"/>
              </w:rPr>
            </w:pPr>
            <w:r w:rsidRPr="005549AC">
              <w:rPr>
                <w:b/>
                <w:bCs/>
                <w:color w:val="000000"/>
              </w:rPr>
              <w:t>Risky Portfolio</w:t>
            </w:r>
          </w:p>
        </w:tc>
        <w:tc>
          <w:tcPr>
            <w:tcW w:w="1100" w:type="dxa"/>
            <w:tcBorders>
              <w:top w:val="single" w:sz="4" w:space="0" w:color="auto"/>
              <w:left w:val="nil"/>
              <w:bottom w:val="single" w:sz="4" w:space="0" w:color="auto"/>
              <w:right w:val="single" w:sz="4" w:space="0" w:color="auto"/>
            </w:tcBorders>
            <w:shd w:val="clear" w:color="000000" w:fill="D9D9D9"/>
            <w:noWrap/>
            <w:vAlign w:val="center"/>
            <w:hideMark/>
          </w:tcPr>
          <w:p w:rsidR="005549AC" w:rsidRPr="005549AC" w:rsidRDefault="005549AC" w:rsidP="005549AC">
            <w:pPr>
              <w:rPr>
                <w:b/>
                <w:bCs/>
                <w:color w:val="000000"/>
              </w:rPr>
            </w:pPr>
            <w:r w:rsidRPr="005549AC">
              <w:rPr>
                <w:b/>
                <w:bCs/>
                <w:color w:val="000000"/>
              </w:rPr>
              <w:t xml:space="preserve">Risk Free </w:t>
            </w:r>
          </w:p>
        </w:tc>
        <w:tc>
          <w:tcPr>
            <w:tcW w:w="1700" w:type="dxa"/>
            <w:tcBorders>
              <w:top w:val="single" w:sz="4" w:space="0" w:color="auto"/>
              <w:left w:val="nil"/>
              <w:bottom w:val="single" w:sz="4" w:space="0" w:color="auto"/>
              <w:right w:val="single" w:sz="4" w:space="0" w:color="auto"/>
            </w:tcBorders>
            <w:shd w:val="clear" w:color="000000" w:fill="D9D9D9"/>
            <w:noWrap/>
            <w:vAlign w:val="center"/>
            <w:hideMark/>
          </w:tcPr>
          <w:p w:rsidR="005549AC" w:rsidRPr="005549AC" w:rsidRDefault="005549AC" w:rsidP="005549AC">
            <w:pPr>
              <w:rPr>
                <w:b/>
                <w:bCs/>
                <w:color w:val="000000"/>
              </w:rPr>
            </w:pPr>
            <w:r w:rsidRPr="005549AC">
              <w:rPr>
                <w:b/>
                <w:bCs/>
                <w:color w:val="000000"/>
              </w:rPr>
              <w:t>Portfolio Return</w:t>
            </w:r>
          </w:p>
        </w:tc>
        <w:tc>
          <w:tcPr>
            <w:tcW w:w="2034" w:type="dxa"/>
            <w:tcBorders>
              <w:top w:val="single" w:sz="4" w:space="0" w:color="auto"/>
              <w:left w:val="nil"/>
              <w:bottom w:val="single" w:sz="4" w:space="0" w:color="auto"/>
              <w:right w:val="single" w:sz="4" w:space="0" w:color="auto"/>
            </w:tcBorders>
            <w:shd w:val="clear" w:color="000000" w:fill="D9D9D9"/>
            <w:noWrap/>
            <w:vAlign w:val="center"/>
            <w:hideMark/>
          </w:tcPr>
          <w:p w:rsidR="005549AC" w:rsidRPr="005549AC" w:rsidRDefault="005549AC" w:rsidP="005549AC">
            <w:pPr>
              <w:rPr>
                <w:b/>
                <w:bCs/>
                <w:color w:val="000000"/>
              </w:rPr>
            </w:pPr>
            <w:r w:rsidRPr="005549AC">
              <w:rPr>
                <w:b/>
                <w:bCs/>
                <w:color w:val="000000"/>
              </w:rPr>
              <w:t xml:space="preserve">Portfolio </w:t>
            </w:r>
            <w:r>
              <w:rPr>
                <w:b/>
                <w:bCs/>
                <w:color w:val="000000"/>
              </w:rPr>
              <w:t>Risk</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9%</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0%</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95%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11%</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90%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12%</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85%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13%</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80%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14%</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16%</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8%</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17%</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65%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18%</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12%</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60%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20%</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13%</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21%</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22%</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17%</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23%</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18%</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60%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c>
          <w:tcPr>
            <w:tcW w:w="2034" w:type="dxa"/>
            <w:tcBorders>
              <w:top w:val="nil"/>
              <w:left w:val="nil"/>
              <w:bottom w:val="single" w:sz="4" w:space="0" w:color="auto"/>
              <w:right w:val="single" w:sz="4" w:space="0" w:color="auto"/>
            </w:tcBorders>
            <w:shd w:val="clear" w:color="auto" w:fill="auto"/>
            <w:vAlign w:val="bottom"/>
            <w:hideMark/>
          </w:tcPr>
          <w:p w:rsidR="005549AC" w:rsidRPr="005549AC" w:rsidRDefault="005549AC" w:rsidP="005549AC">
            <w:pPr>
              <w:jc w:val="right"/>
              <w:rPr>
                <w:color w:val="000000"/>
              </w:rPr>
            </w:pPr>
            <w:r w:rsidRPr="005549AC">
              <w:rPr>
                <w:color w:val="000000"/>
              </w:rPr>
              <w:t>20%</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65%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26%</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21%</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27%</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23%</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75%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29%</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80%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30%</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26%</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85%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31%</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28%</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90%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32%</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30%</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95%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34%</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31%</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35%</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33%</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36%</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35%</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110%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38%</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36%</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115%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39%</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38%</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120%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40%</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40%</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125%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-25%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41%</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41%</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130%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43%</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43%</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135%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-35%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44%</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45%</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140%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45%</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46%</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145%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47%</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48%</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150%</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-50%</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48%</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49%</w:t>
            </w:r>
          </w:p>
        </w:tc>
      </w:tr>
      <w:tr w:rsidR="005549AC" w:rsidRPr="005549AC" w:rsidTr="005549AC">
        <w:trPr>
          <w:trHeight w:val="320"/>
          <w:jc w:val="center"/>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155%</w:t>
            </w:r>
          </w:p>
        </w:tc>
        <w:tc>
          <w:tcPr>
            <w:tcW w:w="11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-55%</w:t>
            </w:r>
          </w:p>
        </w:tc>
        <w:tc>
          <w:tcPr>
            <w:tcW w:w="1700"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49%</w:t>
            </w:r>
          </w:p>
        </w:tc>
        <w:tc>
          <w:tcPr>
            <w:tcW w:w="2034" w:type="dxa"/>
            <w:tcBorders>
              <w:top w:val="nil"/>
              <w:left w:val="nil"/>
              <w:bottom w:val="single" w:sz="4" w:space="0" w:color="auto"/>
              <w:right w:val="single" w:sz="4" w:space="0" w:color="auto"/>
            </w:tcBorders>
            <w:shd w:val="clear" w:color="auto" w:fill="auto"/>
            <w:noWrap/>
            <w:vAlign w:val="bottom"/>
            <w:hideMark/>
          </w:tcPr>
          <w:p w:rsidR="005549AC" w:rsidRPr="005549AC" w:rsidRDefault="005549AC" w:rsidP="005549AC">
            <w:pPr>
              <w:jc w:val="right"/>
              <w:rPr>
                <w:color w:val="000000"/>
              </w:rPr>
            </w:pPr>
            <w:r w:rsidRPr="005549AC">
              <w:rPr>
                <w:color w:val="000000"/>
              </w:rPr>
              <w:t>51%</w:t>
            </w:r>
          </w:p>
        </w:tc>
      </w:tr>
    </w:tbl>
    <w:p w:rsidR="005549AC" w:rsidRPr="002A701B" w:rsidRDefault="005549AC" w:rsidP="005549AC">
      <w:pPr>
        <w:pStyle w:val="ListParagraph"/>
      </w:pPr>
    </w:p>
    <w:sectPr w:rsidR="005549AC" w:rsidRPr="002A701B" w:rsidSect="00F13C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C68"/>
    <w:multiLevelType w:val="hybridMultilevel"/>
    <w:tmpl w:val="4BD6B6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F3666"/>
    <w:multiLevelType w:val="hybridMultilevel"/>
    <w:tmpl w:val="6C128FA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35E0C"/>
    <w:multiLevelType w:val="hybridMultilevel"/>
    <w:tmpl w:val="558EC282"/>
    <w:lvl w:ilvl="0" w:tplc="733AF67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2249AD"/>
    <w:multiLevelType w:val="hybridMultilevel"/>
    <w:tmpl w:val="4BD6B6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341455"/>
    <w:multiLevelType w:val="hybridMultilevel"/>
    <w:tmpl w:val="2AA8C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9D6D86"/>
    <w:multiLevelType w:val="hybridMultilevel"/>
    <w:tmpl w:val="0B9A8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604985"/>
    <w:multiLevelType w:val="hybridMultilevel"/>
    <w:tmpl w:val="3C3C200A"/>
    <w:lvl w:ilvl="0" w:tplc="9A2AD322">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13"/>
    <w:rsid w:val="00012DE4"/>
    <w:rsid w:val="000E6A30"/>
    <w:rsid w:val="00117290"/>
    <w:rsid w:val="00162E57"/>
    <w:rsid w:val="002014D5"/>
    <w:rsid w:val="002450C1"/>
    <w:rsid w:val="002A701B"/>
    <w:rsid w:val="003B5A8D"/>
    <w:rsid w:val="0040627F"/>
    <w:rsid w:val="005549AC"/>
    <w:rsid w:val="006670BC"/>
    <w:rsid w:val="006D6338"/>
    <w:rsid w:val="00761934"/>
    <w:rsid w:val="0077305E"/>
    <w:rsid w:val="007B45AA"/>
    <w:rsid w:val="00821F5E"/>
    <w:rsid w:val="00847ECD"/>
    <w:rsid w:val="00BD0DC5"/>
    <w:rsid w:val="00C27581"/>
    <w:rsid w:val="00C445EE"/>
    <w:rsid w:val="00C5666A"/>
    <w:rsid w:val="00DC199D"/>
    <w:rsid w:val="00EB60EA"/>
    <w:rsid w:val="00F13C13"/>
    <w:rsid w:val="00F6137A"/>
    <w:rsid w:val="00F641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3F5D"/>
  <w15:chartTrackingRefBased/>
  <w15:docId w15:val="{DD9B36F9-AAD1-EF4A-8B3B-6FD54146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AA"/>
    <w:rPr>
      <w:rFonts w:ascii="Times New Roman" w:eastAsia="Times New Roman" w:hAnsi="Times New Roman" w:cs="Times New Roman"/>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F5E"/>
    <w:pPr>
      <w:ind w:left="720"/>
      <w:contextualSpacing/>
    </w:pPr>
  </w:style>
  <w:style w:type="character" w:styleId="Hyperlink">
    <w:name w:val="Hyperlink"/>
    <w:basedOn w:val="DefaultParagraphFont"/>
    <w:uiPriority w:val="99"/>
    <w:unhideWhenUsed/>
    <w:rsid w:val="0077305E"/>
    <w:rPr>
      <w:color w:val="0563C1" w:themeColor="hyperlink"/>
      <w:u w:val="single"/>
    </w:rPr>
  </w:style>
  <w:style w:type="character" w:styleId="UnresolvedMention">
    <w:name w:val="Unresolved Mention"/>
    <w:basedOn w:val="DefaultParagraphFont"/>
    <w:uiPriority w:val="99"/>
    <w:semiHidden/>
    <w:unhideWhenUsed/>
    <w:rsid w:val="0077305E"/>
    <w:rPr>
      <w:color w:val="605E5C"/>
      <w:shd w:val="clear" w:color="auto" w:fill="E1DFDD"/>
    </w:rPr>
  </w:style>
  <w:style w:type="character" w:styleId="FollowedHyperlink">
    <w:name w:val="FollowedHyperlink"/>
    <w:basedOn w:val="DefaultParagraphFont"/>
    <w:uiPriority w:val="99"/>
    <w:semiHidden/>
    <w:unhideWhenUsed/>
    <w:rsid w:val="0077305E"/>
    <w:rPr>
      <w:color w:val="954F72" w:themeColor="followedHyperlink"/>
      <w:u w:val="single"/>
    </w:rPr>
  </w:style>
  <w:style w:type="character" w:styleId="PlaceholderText">
    <w:name w:val="Placeholder Text"/>
    <w:basedOn w:val="DefaultParagraphFont"/>
    <w:uiPriority w:val="99"/>
    <w:semiHidden/>
    <w:rsid w:val="007B45AA"/>
    <w:rPr>
      <w:color w:val="808080"/>
    </w:rPr>
  </w:style>
  <w:style w:type="paragraph" w:styleId="NormalWeb">
    <w:name w:val="Normal (Web)"/>
    <w:basedOn w:val="Normal"/>
    <w:uiPriority w:val="99"/>
    <w:unhideWhenUsed/>
    <w:rsid w:val="00EB60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6405">
      <w:bodyDiv w:val="1"/>
      <w:marLeft w:val="0"/>
      <w:marRight w:val="0"/>
      <w:marTop w:val="0"/>
      <w:marBottom w:val="0"/>
      <w:divBdr>
        <w:top w:val="none" w:sz="0" w:space="0" w:color="auto"/>
        <w:left w:val="none" w:sz="0" w:space="0" w:color="auto"/>
        <w:bottom w:val="none" w:sz="0" w:space="0" w:color="auto"/>
        <w:right w:val="none" w:sz="0" w:space="0" w:color="auto"/>
      </w:divBdr>
    </w:div>
    <w:div w:id="327487699">
      <w:bodyDiv w:val="1"/>
      <w:marLeft w:val="0"/>
      <w:marRight w:val="0"/>
      <w:marTop w:val="0"/>
      <w:marBottom w:val="0"/>
      <w:divBdr>
        <w:top w:val="none" w:sz="0" w:space="0" w:color="auto"/>
        <w:left w:val="none" w:sz="0" w:space="0" w:color="auto"/>
        <w:bottom w:val="none" w:sz="0" w:space="0" w:color="auto"/>
        <w:right w:val="none" w:sz="0" w:space="0" w:color="auto"/>
      </w:divBdr>
    </w:div>
    <w:div w:id="336886324">
      <w:bodyDiv w:val="1"/>
      <w:marLeft w:val="0"/>
      <w:marRight w:val="0"/>
      <w:marTop w:val="0"/>
      <w:marBottom w:val="0"/>
      <w:divBdr>
        <w:top w:val="none" w:sz="0" w:space="0" w:color="auto"/>
        <w:left w:val="none" w:sz="0" w:space="0" w:color="auto"/>
        <w:bottom w:val="none" w:sz="0" w:space="0" w:color="auto"/>
        <w:right w:val="none" w:sz="0" w:space="0" w:color="auto"/>
      </w:divBdr>
    </w:div>
    <w:div w:id="393243572">
      <w:bodyDiv w:val="1"/>
      <w:marLeft w:val="0"/>
      <w:marRight w:val="0"/>
      <w:marTop w:val="0"/>
      <w:marBottom w:val="0"/>
      <w:divBdr>
        <w:top w:val="none" w:sz="0" w:space="0" w:color="auto"/>
        <w:left w:val="none" w:sz="0" w:space="0" w:color="auto"/>
        <w:bottom w:val="none" w:sz="0" w:space="0" w:color="auto"/>
        <w:right w:val="none" w:sz="0" w:space="0" w:color="auto"/>
      </w:divBdr>
    </w:div>
    <w:div w:id="439761624">
      <w:bodyDiv w:val="1"/>
      <w:marLeft w:val="0"/>
      <w:marRight w:val="0"/>
      <w:marTop w:val="0"/>
      <w:marBottom w:val="0"/>
      <w:divBdr>
        <w:top w:val="none" w:sz="0" w:space="0" w:color="auto"/>
        <w:left w:val="none" w:sz="0" w:space="0" w:color="auto"/>
        <w:bottom w:val="none" w:sz="0" w:space="0" w:color="auto"/>
        <w:right w:val="none" w:sz="0" w:space="0" w:color="auto"/>
      </w:divBdr>
    </w:div>
    <w:div w:id="443235958">
      <w:bodyDiv w:val="1"/>
      <w:marLeft w:val="0"/>
      <w:marRight w:val="0"/>
      <w:marTop w:val="0"/>
      <w:marBottom w:val="0"/>
      <w:divBdr>
        <w:top w:val="none" w:sz="0" w:space="0" w:color="auto"/>
        <w:left w:val="none" w:sz="0" w:space="0" w:color="auto"/>
        <w:bottom w:val="none" w:sz="0" w:space="0" w:color="auto"/>
        <w:right w:val="none" w:sz="0" w:space="0" w:color="auto"/>
      </w:divBdr>
    </w:div>
    <w:div w:id="443351261">
      <w:bodyDiv w:val="1"/>
      <w:marLeft w:val="0"/>
      <w:marRight w:val="0"/>
      <w:marTop w:val="0"/>
      <w:marBottom w:val="0"/>
      <w:divBdr>
        <w:top w:val="none" w:sz="0" w:space="0" w:color="auto"/>
        <w:left w:val="none" w:sz="0" w:space="0" w:color="auto"/>
        <w:bottom w:val="none" w:sz="0" w:space="0" w:color="auto"/>
        <w:right w:val="none" w:sz="0" w:space="0" w:color="auto"/>
      </w:divBdr>
    </w:div>
    <w:div w:id="638611581">
      <w:bodyDiv w:val="1"/>
      <w:marLeft w:val="0"/>
      <w:marRight w:val="0"/>
      <w:marTop w:val="0"/>
      <w:marBottom w:val="0"/>
      <w:divBdr>
        <w:top w:val="none" w:sz="0" w:space="0" w:color="auto"/>
        <w:left w:val="none" w:sz="0" w:space="0" w:color="auto"/>
        <w:bottom w:val="none" w:sz="0" w:space="0" w:color="auto"/>
        <w:right w:val="none" w:sz="0" w:space="0" w:color="auto"/>
      </w:divBdr>
    </w:div>
    <w:div w:id="656346930">
      <w:bodyDiv w:val="1"/>
      <w:marLeft w:val="0"/>
      <w:marRight w:val="0"/>
      <w:marTop w:val="0"/>
      <w:marBottom w:val="0"/>
      <w:divBdr>
        <w:top w:val="none" w:sz="0" w:space="0" w:color="auto"/>
        <w:left w:val="none" w:sz="0" w:space="0" w:color="auto"/>
        <w:bottom w:val="none" w:sz="0" w:space="0" w:color="auto"/>
        <w:right w:val="none" w:sz="0" w:space="0" w:color="auto"/>
      </w:divBdr>
    </w:div>
    <w:div w:id="685401083">
      <w:bodyDiv w:val="1"/>
      <w:marLeft w:val="0"/>
      <w:marRight w:val="0"/>
      <w:marTop w:val="0"/>
      <w:marBottom w:val="0"/>
      <w:divBdr>
        <w:top w:val="none" w:sz="0" w:space="0" w:color="auto"/>
        <w:left w:val="none" w:sz="0" w:space="0" w:color="auto"/>
        <w:bottom w:val="none" w:sz="0" w:space="0" w:color="auto"/>
        <w:right w:val="none" w:sz="0" w:space="0" w:color="auto"/>
      </w:divBdr>
    </w:div>
    <w:div w:id="693193377">
      <w:bodyDiv w:val="1"/>
      <w:marLeft w:val="0"/>
      <w:marRight w:val="0"/>
      <w:marTop w:val="0"/>
      <w:marBottom w:val="0"/>
      <w:divBdr>
        <w:top w:val="none" w:sz="0" w:space="0" w:color="auto"/>
        <w:left w:val="none" w:sz="0" w:space="0" w:color="auto"/>
        <w:bottom w:val="none" w:sz="0" w:space="0" w:color="auto"/>
        <w:right w:val="none" w:sz="0" w:space="0" w:color="auto"/>
      </w:divBdr>
    </w:div>
    <w:div w:id="722405806">
      <w:bodyDiv w:val="1"/>
      <w:marLeft w:val="0"/>
      <w:marRight w:val="0"/>
      <w:marTop w:val="0"/>
      <w:marBottom w:val="0"/>
      <w:divBdr>
        <w:top w:val="none" w:sz="0" w:space="0" w:color="auto"/>
        <w:left w:val="none" w:sz="0" w:space="0" w:color="auto"/>
        <w:bottom w:val="none" w:sz="0" w:space="0" w:color="auto"/>
        <w:right w:val="none" w:sz="0" w:space="0" w:color="auto"/>
      </w:divBdr>
    </w:div>
    <w:div w:id="795022570">
      <w:bodyDiv w:val="1"/>
      <w:marLeft w:val="0"/>
      <w:marRight w:val="0"/>
      <w:marTop w:val="0"/>
      <w:marBottom w:val="0"/>
      <w:divBdr>
        <w:top w:val="none" w:sz="0" w:space="0" w:color="auto"/>
        <w:left w:val="none" w:sz="0" w:space="0" w:color="auto"/>
        <w:bottom w:val="none" w:sz="0" w:space="0" w:color="auto"/>
        <w:right w:val="none" w:sz="0" w:space="0" w:color="auto"/>
      </w:divBdr>
    </w:div>
    <w:div w:id="796459411">
      <w:bodyDiv w:val="1"/>
      <w:marLeft w:val="0"/>
      <w:marRight w:val="0"/>
      <w:marTop w:val="0"/>
      <w:marBottom w:val="0"/>
      <w:divBdr>
        <w:top w:val="none" w:sz="0" w:space="0" w:color="auto"/>
        <w:left w:val="none" w:sz="0" w:space="0" w:color="auto"/>
        <w:bottom w:val="none" w:sz="0" w:space="0" w:color="auto"/>
        <w:right w:val="none" w:sz="0" w:space="0" w:color="auto"/>
      </w:divBdr>
    </w:div>
    <w:div w:id="817189763">
      <w:bodyDiv w:val="1"/>
      <w:marLeft w:val="0"/>
      <w:marRight w:val="0"/>
      <w:marTop w:val="0"/>
      <w:marBottom w:val="0"/>
      <w:divBdr>
        <w:top w:val="none" w:sz="0" w:space="0" w:color="auto"/>
        <w:left w:val="none" w:sz="0" w:space="0" w:color="auto"/>
        <w:bottom w:val="none" w:sz="0" w:space="0" w:color="auto"/>
        <w:right w:val="none" w:sz="0" w:space="0" w:color="auto"/>
      </w:divBdr>
    </w:div>
    <w:div w:id="858663270">
      <w:bodyDiv w:val="1"/>
      <w:marLeft w:val="0"/>
      <w:marRight w:val="0"/>
      <w:marTop w:val="0"/>
      <w:marBottom w:val="0"/>
      <w:divBdr>
        <w:top w:val="none" w:sz="0" w:space="0" w:color="auto"/>
        <w:left w:val="none" w:sz="0" w:space="0" w:color="auto"/>
        <w:bottom w:val="none" w:sz="0" w:space="0" w:color="auto"/>
        <w:right w:val="none" w:sz="0" w:space="0" w:color="auto"/>
      </w:divBdr>
    </w:div>
    <w:div w:id="873037314">
      <w:bodyDiv w:val="1"/>
      <w:marLeft w:val="0"/>
      <w:marRight w:val="0"/>
      <w:marTop w:val="0"/>
      <w:marBottom w:val="0"/>
      <w:divBdr>
        <w:top w:val="none" w:sz="0" w:space="0" w:color="auto"/>
        <w:left w:val="none" w:sz="0" w:space="0" w:color="auto"/>
        <w:bottom w:val="none" w:sz="0" w:space="0" w:color="auto"/>
        <w:right w:val="none" w:sz="0" w:space="0" w:color="auto"/>
      </w:divBdr>
    </w:div>
    <w:div w:id="925578432">
      <w:bodyDiv w:val="1"/>
      <w:marLeft w:val="0"/>
      <w:marRight w:val="0"/>
      <w:marTop w:val="0"/>
      <w:marBottom w:val="0"/>
      <w:divBdr>
        <w:top w:val="none" w:sz="0" w:space="0" w:color="auto"/>
        <w:left w:val="none" w:sz="0" w:space="0" w:color="auto"/>
        <w:bottom w:val="none" w:sz="0" w:space="0" w:color="auto"/>
        <w:right w:val="none" w:sz="0" w:space="0" w:color="auto"/>
      </w:divBdr>
    </w:div>
    <w:div w:id="959799362">
      <w:bodyDiv w:val="1"/>
      <w:marLeft w:val="0"/>
      <w:marRight w:val="0"/>
      <w:marTop w:val="0"/>
      <w:marBottom w:val="0"/>
      <w:divBdr>
        <w:top w:val="none" w:sz="0" w:space="0" w:color="auto"/>
        <w:left w:val="none" w:sz="0" w:space="0" w:color="auto"/>
        <w:bottom w:val="none" w:sz="0" w:space="0" w:color="auto"/>
        <w:right w:val="none" w:sz="0" w:space="0" w:color="auto"/>
      </w:divBdr>
    </w:div>
    <w:div w:id="961111154">
      <w:bodyDiv w:val="1"/>
      <w:marLeft w:val="0"/>
      <w:marRight w:val="0"/>
      <w:marTop w:val="0"/>
      <w:marBottom w:val="0"/>
      <w:divBdr>
        <w:top w:val="none" w:sz="0" w:space="0" w:color="auto"/>
        <w:left w:val="none" w:sz="0" w:space="0" w:color="auto"/>
        <w:bottom w:val="none" w:sz="0" w:space="0" w:color="auto"/>
        <w:right w:val="none" w:sz="0" w:space="0" w:color="auto"/>
      </w:divBdr>
    </w:div>
    <w:div w:id="973097165">
      <w:bodyDiv w:val="1"/>
      <w:marLeft w:val="0"/>
      <w:marRight w:val="0"/>
      <w:marTop w:val="0"/>
      <w:marBottom w:val="0"/>
      <w:divBdr>
        <w:top w:val="none" w:sz="0" w:space="0" w:color="auto"/>
        <w:left w:val="none" w:sz="0" w:space="0" w:color="auto"/>
        <w:bottom w:val="none" w:sz="0" w:space="0" w:color="auto"/>
        <w:right w:val="none" w:sz="0" w:space="0" w:color="auto"/>
      </w:divBdr>
    </w:div>
    <w:div w:id="1060134428">
      <w:bodyDiv w:val="1"/>
      <w:marLeft w:val="0"/>
      <w:marRight w:val="0"/>
      <w:marTop w:val="0"/>
      <w:marBottom w:val="0"/>
      <w:divBdr>
        <w:top w:val="none" w:sz="0" w:space="0" w:color="auto"/>
        <w:left w:val="none" w:sz="0" w:space="0" w:color="auto"/>
        <w:bottom w:val="none" w:sz="0" w:space="0" w:color="auto"/>
        <w:right w:val="none" w:sz="0" w:space="0" w:color="auto"/>
      </w:divBdr>
    </w:div>
    <w:div w:id="1071587963">
      <w:bodyDiv w:val="1"/>
      <w:marLeft w:val="0"/>
      <w:marRight w:val="0"/>
      <w:marTop w:val="0"/>
      <w:marBottom w:val="0"/>
      <w:divBdr>
        <w:top w:val="none" w:sz="0" w:space="0" w:color="auto"/>
        <w:left w:val="none" w:sz="0" w:space="0" w:color="auto"/>
        <w:bottom w:val="none" w:sz="0" w:space="0" w:color="auto"/>
        <w:right w:val="none" w:sz="0" w:space="0" w:color="auto"/>
      </w:divBdr>
    </w:div>
    <w:div w:id="1074352015">
      <w:bodyDiv w:val="1"/>
      <w:marLeft w:val="0"/>
      <w:marRight w:val="0"/>
      <w:marTop w:val="0"/>
      <w:marBottom w:val="0"/>
      <w:divBdr>
        <w:top w:val="none" w:sz="0" w:space="0" w:color="auto"/>
        <w:left w:val="none" w:sz="0" w:space="0" w:color="auto"/>
        <w:bottom w:val="none" w:sz="0" w:space="0" w:color="auto"/>
        <w:right w:val="none" w:sz="0" w:space="0" w:color="auto"/>
      </w:divBdr>
    </w:div>
    <w:div w:id="1115518724">
      <w:bodyDiv w:val="1"/>
      <w:marLeft w:val="0"/>
      <w:marRight w:val="0"/>
      <w:marTop w:val="0"/>
      <w:marBottom w:val="0"/>
      <w:divBdr>
        <w:top w:val="none" w:sz="0" w:space="0" w:color="auto"/>
        <w:left w:val="none" w:sz="0" w:space="0" w:color="auto"/>
        <w:bottom w:val="none" w:sz="0" w:space="0" w:color="auto"/>
        <w:right w:val="none" w:sz="0" w:space="0" w:color="auto"/>
      </w:divBdr>
    </w:div>
    <w:div w:id="1136725985">
      <w:bodyDiv w:val="1"/>
      <w:marLeft w:val="0"/>
      <w:marRight w:val="0"/>
      <w:marTop w:val="0"/>
      <w:marBottom w:val="0"/>
      <w:divBdr>
        <w:top w:val="none" w:sz="0" w:space="0" w:color="auto"/>
        <w:left w:val="none" w:sz="0" w:space="0" w:color="auto"/>
        <w:bottom w:val="none" w:sz="0" w:space="0" w:color="auto"/>
        <w:right w:val="none" w:sz="0" w:space="0" w:color="auto"/>
      </w:divBdr>
    </w:div>
    <w:div w:id="1166479472">
      <w:bodyDiv w:val="1"/>
      <w:marLeft w:val="0"/>
      <w:marRight w:val="0"/>
      <w:marTop w:val="0"/>
      <w:marBottom w:val="0"/>
      <w:divBdr>
        <w:top w:val="none" w:sz="0" w:space="0" w:color="auto"/>
        <w:left w:val="none" w:sz="0" w:space="0" w:color="auto"/>
        <w:bottom w:val="none" w:sz="0" w:space="0" w:color="auto"/>
        <w:right w:val="none" w:sz="0" w:space="0" w:color="auto"/>
      </w:divBdr>
    </w:div>
    <w:div w:id="1176532210">
      <w:bodyDiv w:val="1"/>
      <w:marLeft w:val="0"/>
      <w:marRight w:val="0"/>
      <w:marTop w:val="0"/>
      <w:marBottom w:val="0"/>
      <w:divBdr>
        <w:top w:val="none" w:sz="0" w:space="0" w:color="auto"/>
        <w:left w:val="none" w:sz="0" w:space="0" w:color="auto"/>
        <w:bottom w:val="none" w:sz="0" w:space="0" w:color="auto"/>
        <w:right w:val="none" w:sz="0" w:space="0" w:color="auto"/>
      </w:divBdr>
    </w:div>
    <w:div w:id="1178153382">
      <w:bodyDiv w:val="1"/>
      <w:marLeft w:val="0"/>
      <w:marRight w:val="0"/>
      <w:marTop w:val="0"/>
      <w:marBottom w:val="0"/>
      <w:divBdr>
        <w:top w:val="none" w:sz="0" w:space="0" w:color="auto"/>
        <w:left w:val="none" w:sz="0" w:space="0" w:color="auto"/>
        <w:bottom w:val="none" w:sz="0" w:space="0" w:color="auto"/>
        <w:right w:val="none" w:sz="0" w:space="0" w:color="auto"/>
      </w:divBdr>
    </w:div>
    <w:div w:id="1181431869">
      <w:bodyDiv w:val="1"/>
      <w:marLeft w:val="0"/>
      <w:marRight w:val="0"/>
      <w:marTop w:val="0"/>
      <w:marBottom w:val="0"/>
      <w:divBdr>
        <w:top w:val="none" w:sz="0" w:space="0" w:color="auto"/>
        <w:left w:val="none" w:sz="0" w:space="0" w:color="auto"/>
        <w:bottom w:val="none" w:sz="0" w:space="0" w:color="auto"/>
        <w:right w:val="none" w:sz="0" w:space="0" w:color="auto"/>
      </w:divBdr>
    </w:div>
    <w:div w:id="1235236927">
      <w:bodyDiv w:val="1"/>
      <w:marLeft w:val="0"/>
      <w:marRight w:val="0"/>
      <w:marTop w:val="0"/>
      <w:marBottom w:val="0"/>
      <w:divBdr>
        <w:top w:val="none" w:sz="0" w:space="0" w:color="auto"/>
        <w:left w:val="none" w:sz="0" w:space="0" w:color="auto"/>
        <w:bottom w:val="none" w:sz="0" w:space="0" w:color="auto"/>
        <w:right w:val="none" w:sz="0" w:space="0" w:color="auto"/>
      </w:divBdr>
    </w:div>
    <w:div w:id="1255357848">
      <w:bodyDiv w:val="1"/>
      <w:marLeft w:val="0"/>
      <w:marRight w:val="0"/>
      <w:marTop w:val="0"/>
      <w:marBottom w:val="0"/>
      <w:divBdr>
        <w:top w:val="none" w:sz="0" w:space="0" w:color="auto"/>
        <w:left w:val="none" w:sz="0" w:space="0" w:color="auto"/>
        <w:bottom w:val="none" w:sz="0" w:space="0" w:color="auto"/>
        <w:right w:val="none" w:sz="0" w:space="0" w:color="auto"/>
      </w:divBdr>
    </w:div>
    <w:div w:id="1269585144">
      <w:bodyDiv w:val="1"/>
      <w:marLeft w:val="0"/>
      <w:marRight w:val="0"/>
      <w:marTop w:val="0"/>
      <w:marBottom w:val="0"/>
      <w:divBdr>
        <w:top w:val="none" w:sz="0" w:space="0" w:color="auto"/>
        <w:left w:val="none" w:sz="0" w:space="0" w:color="auto"/>
        <w:bottom w:val="none" w:sz="0" w:space="0" w:color="auto"/>
        <w:right w:val="none" w:sz="0" w:space="0" w:color="auto"/>
      </w:divBdr>
    </w:div>
    <w:div w:id="1271623576">
      <w:bodyDiv w:val="1"/>
      <w:marLeft w:val="0"/>
      <w:marRight w:val="0"/>
      <w:marTop w:val="0"/>
      <w:marBottom w:val="0"/>
      <w:divBdr>
        <w:top w:val="none" w:sz="0" w:space="0" w:color="auto"/>
        <w:left w:val="none" w:sz="0" w:space="0" w:color="auto"/>
        <w:bottom w:val="none" w:sz="0" w:space="0" w:color="auto"/>
        <w:right w:val="none" w:sz="0" w:space="0" w:color="auto"/>
      </w:divBdr>
    </w:div>
    <w:div w:id="1301035694">
      <w:bodyDiv w:val="1"/>
      <w:marLeft w:val="0"/>
      <w:marRight w:val="0"/>
      <w:marTop w:val="0"/>
      <w:marBottom w:val="0"/>
      <w:divBdr>
        <w:top w:val="none" w:sz="0" w:space="0" w:color="auto"/>
        <w:left w:val="none" w:sz="0" w:space="0" w:color="auto"/>
        <w:bottom w:val="none" w:sz="0" w:space="0" w:color="auto"/>
        <w:right w:val="none" w:sz="0" w:space="0" w:color="auto"/>
      </w:divBdr>
    </w:div>
    <w:div w:id="1333489587">
      <w:bodyDiv w:val="1"/>
      <w:marLeft w:val="0"/>
      <w:marRight w:val="0"/>
      <w:marTop w:val="0"/>
      <w:marBottom w:val="0"/>
      <w:divBdr>
        <w:top w:val="none" w:sz="0" w:space="0" w:color="auto"/>
        <w:left w:val="none" w:sz="0" w:space="0" w:color="auto"/>
        <w:bottom w:val="none" w:sz="0" w:space="0" w:color="auto"/>
        <w:right w:val="none" w:sz="0" w:space="0" w:color="auto"/>
      </w:divBdr>
    </w:div>
    <w:div w:id="1359047795">
      <w:bodyDiv w:val="1"/>
      <w:marLeft w:val="0"/>
      <w:marRight w:val="0"/>
      <w:marTop w:val="0"/>
      <w:marBottom w:val="0"/>
      <w:divBdr>
        <w:top w:val="none" w:sz="0" w:space="0" w:color="auto"/>
        <w:left w:val="none" w:sz="0" w:space="0" w:color="auto"/>
        <w:bottom w:val="none" w:sz="0" w:space="0" w:color="auto"/>
        <w:right w:val="none" w:sz="0" w:space="0" w:color="auto"/>
      </w:divBdr>
    </w:div>
    <w:div w:id="1415783106">
      <w:bodyDiv w:val="1"/>
      <w:marLeft w:val="0"/>
      <w:marRight w:val="0"/>
      <w:marTop w:val="0"/>
      <w:marBottom w:val="0"/>
      <w:divBdr>
        <w:top w:val="none" w:sz="0" w:space="0" w:color="auto"/>
        <w:left w:val="none" w:sz="0" w:space="0" w:color="auto"/>
        <w:bottom w:val="none" w:sz="0" w:space="0" w:color="auto"/>
        <w:right w:val="none" w:sz="0" w:space="0" w:color="auto"/>
      </w:divBdr>
    </w:div>
    <w:div w:id="1447578784">
      <w:bodyDiv w:val="1"/>
      <w:marLeft w:val="0"/>
      <w:marRight w:val="0"/>
      <w:marTop w:val="0"/>
      <w:marBottom w:val="0"/>
      <w:divBdr>
        <w:top w:val="none" w:sz="0" w:space="0" w:color="auto"/>
        <w:left w:val="none" w:sz="0" w:space="0" w:color="auto"/>
        <w:bottom w:val="none" w:sz="0" w:space="0" w:color="auto"/>
        <w:right w:val="none" w:sz="0" w:space="0" w:color="auto"/>
      </w:divBdr>
    </w:div>
    <w:div w:id="1455904409">
      <w:bodyDiv w:val="1"/>
      <w:marLeft w:val="0"/>
      <w:marRight w:val="0"/>
      <w:marTop w:val="0"/>
      <w:marBottom w:val="0"/>
      <w:divBdr>
        <w:top w:val="none" w:sz="0" w:space="0" w:color="auto"/>
        <w:left w:val="none" w:sz="0" w:space="0" w:color="auto"/>
        <w:bottom w:val="none" w:sz="0" w:space="0" w:color="auto"/>
        <w:right w:val="none" w:sz="0" w:space="0" w:color="auto"/>
      </w:divBdr>
    </w:div>
    <w:div w:id="1464734751">
      <w:bodyDiv w:val="1"/>
      <w:marLeft w:val="0"/>
      <w:marRight w:val="0"/>
      <w:marTop w:val="0"/>
      <w:marBottom w:val="0"/>
      <w:divBdr>
        <w:top w:val="none" w:sz="0" w:space="0" w:color="auto"/>
        <w:left w:val="none" w:sz="0" w:space="0" w:color="auto"/>
        <w:bottom w:val="none" w:sz="0" w:space="0" w:color="auto"/>
        <w:right w:val="none" w:sz="0" w:space="0" w:color="auto"/>
      </w:divBdr>
    </w:div>
    <w:div w:id="1467770526">
      <w:bodyDiv w:val="1"/>
      <w:marLeft w:val="0"/>
      <w:marRight w:val="0"/>
      <w:marTop w:val="0"/>
      <w:marBottom w:val="0"/>
      <w:divBdr>
        <w:top w:val="none" w:sz="0" w:space="0" w:color="auto"/>
        <w:left w:val="none" w:sz="0" w:space="0" w:color="auto"/>
        <w:bottom w:val="none" w:sz="0" w:space="0" w:color="auto"/>
        <w:right w:val="none" w:sz="0" w:space="0" w:color="auto"/>
      </w:divBdr>
    </w:div>
    <w:div w:id="1529560438">
      <w:bodyDiv w:val="1"/>
      <w:marLeft w:val="0"/>
      <w:marRight w:val="0"/>
      <w:marTop w:val="0"/>
      <w:marBottom w:val="0"/>
      <w:divBdr>
        <w:top w:val="none" w:sz="0" w:space="0" w:color="auto"/>
        <w:left w:val="none" w:sz="0" w:space="0" w:color="auto"/>
        <w:bottom w:val="none" w:sz="0" w:space="0" w:color="auto"/>
        <w:right w:val="none" w:sz="0" w:space="0" w:color="auto"/>
      </w:divBdr>
    </w:div>
    <w:div w:id="1536310377">
      <w:bodyDiv w:val="1"/>
      <w:marLeft w:val="0"/>
      <w:marRight w:val="0"/>
      <w:marTop w:val="0"/>
      <w:marBottom w:val="0"/>
      <w:divBdr>
        <w:top w:val="none" w:sz="0" w:space="0" w:color="auto"/>
        <w:left w:val="none" w:sz="0" w:space="0" w:color="auto"/>
        <w:bottom w:val="none" w:sz="0" w:space="0" w:color="auto"/>
        <w:right w:val="none" w:sz="0" w:space="0" w:color="auto"/>
      </w:divBdr>
    </w:div>
    <w:div w:id="1554387497">
      <w:bodyDiv w:val="1"/>
      <w:marLeft w:val="0"/>
      <w:marRight w:val="0"/>
      <w:marTop w:val="0"/>
      <w:marBottom w:val="0"/>
      <w:divBdr>
        <w:top w:val="none" w:sz="0" w:space="0" w:color="auto"/>
        <w:left w:val="none" w:sz="0" w:space="0" w:color="auto"/>
        <w:bottom w:val="none" w:sz="0" w:space="0" w:color="auto"/>
        <w:right w:val="none" w:sz="0" w:space="0" w:color="auto"/>
      </w:divBdr>
    </w:div>
    <w:div w:id="1604337728">
      <w:bodyDiv w:val="1"/>
      <w:marLeft w:val="0"/>
      <w:marRight w:val="0"/>
      <w:marTop w:val="0"/>
      <w:marBottom w:val="0"/>
      <w:divBdr>
        <w:top w:val="none" w:sz="0" w:space="0" w:color="auto"/>
        <w:left w:val="none" w:sz="0" w:space="0" w:color="auto"/>
        <w:bottom w:val="none" w:sz="0" w:space="0" w:color="auto"/>
        <w:right w:val="none" w:sz="0" w:space="0" w:color="auto"/>
      </w:divBdr>
    </w:div>
    <w:div w:id="1613198534">
      <w:bodyDiv w:val="1"/>
      <w:marLeft w:val="0"/>
      <w:marRight w:val="0"/>
      <w:marTop w:val="0"/>
      <w:marBottom w:val="0"/>
      <w:divBdr>
        <w:top w:val="none" w:sz="0" w:space="0" w:color="auto"/>
        <w:left w:val="none" w:sz="0" w:space="0" w:color="auto"/>
        <w:bottom w:val="none" w:sz="0" w:space="0" w:color="auto"/>
        <w:right w:val="none" w:sz="0" w:space="0" w:color="auto"/>
      </w:divBdr>
    </w:div>
    <w:div w:id="1647858545">
      <w:bodyDiv w:val="1"/>
      <w:marLeft w:val="0"/>
      <w:marRight w:val="0"/>
      <w:marTop w:val="0"/>
      <w:marBottom w:val="0"/>
      <w:divBdr>
        <w:top w:val="none" w:sz="0" w:space="0" w:color="auto"/>
        <w:left w:val="none" w:sz="0" w:space="0" w:color="auto"/>
        <w:bottom w:val="none" w:sz="0" w:space="0" w:color="auto"/>
        <w:right w:val="none" w:sz="0" w:space="0" w:color="auto"/>
      </w:divBdr>
    </w:div>
    <w:div w:id="1648243931">
      <w:bodyDiv w:val="1"/>
      <w:marLeft w:val="0"/>
      <w:marRight w:val="0"/>
      <w:marTop w:val="0"/>
      <w:marBottom w:val="0"/>
      <w:divBdr>
        <w:top w:val="none" w:sz="0" w:space="0" w:color="auto"/>
        <w:left w:val="none" w:sz="0" w:space="0" w:color="auto"/>
        <w:bottom w:val="none" w:sz="0" w:space="0" w:color="auto"/>
        <w:right w:val="none" w:sz="0" w:space="0" w:color="auto"/>
      </w:divBdr>
    </w:div>
    <w:div w:id="1693646973">
      <w:bodyDiv w:val="1"/>
      <w:marLeft w:val="0"/>
      <w:marRight w:val="0"/>
      <w:marTop w:val="0"/>
      <w:marBottom w:val="0"/>
      <w:divBdr>
        <w:top w:val="none" w:sz="0" w:space="0" w:color="auto"/>
        <w:left w:val="none" w:sz="0" w:space="0" w:color="auto"/>
        <w:bottom w:val="none" w:sz="0" w:space="0" w:color="auto"/>
        <w:right w:val="none" w:sz="0" w:space="0" w:color="auto"/>
      </w:divBdr>
    </w:div>
    <w:div w:id="1697584239">
      <w:bodyDiv w:val="1"/>
      <w:marLeft w:val="0"/>
      <w:marRight w:val="0"/>
      <w:marTop w:val="0"/>
      <w:marBottom w:val="0"/>
      <w:divBdr>
        <w:top w:val="none" w:sz="0" w:space="0" w:color="auto"/>
        <w:left w:val="none" w:sz="0" w:space="0" w:color="auto"/>
        <w:bottom w:val="none" w:sz="0" w:space="0" w:color="auto"/>
        <w:right w:val="none" w:sz="0" w:space="0" w:color="auto"/>
      </w:divBdr>
    </w:div>
    <w:div w:id="1753695653">
      <w:bodyDiv w:val="1"/>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170800123">
              <w:marLeft w:val="0"/>
              <w:marRight w:val="0"/>
              <w:marTop w:val="0"/>
              <w:marBottom w:val="0"/>
              <w:divBdr>
                <w:top w:val="none" w:sz="0" w:space="0" w:color="auto"/>
                <w:left w:val="none" w:sz="0" w:space="0" w:color="auto"/>
                <w:bottom w:val="none" w:sz="0" w:space="0" w:color="auto"/>
                <w:right w:val="none" w:sz="0" w:space="0" w:color="auto"/>
              </w:divBdr>
              <w:divsChild>
                <w:div w:id="626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065">
      <w:bodyDiv w:val="1"/>
      <w:marLeft w:val="0"/>
      <w:marRight w:val="0"/>
      <w:marTop w:val="0"/>
      <w:marBottom w:val="0"/>
      <w:divBdr>
        <w:top w:val="none" w:sz="0" w:space="0" w:color="auto"/>
        <w:left w:val="none" w:sz="0" w:space="0" w:color="auto"/>
        <w:bottom w:val="none" w:sz="0" w:space="0" w:color="auto"/>
        <w:right w:val="none" w:sz="0" w:space="0" w:color="auto"/>
      </w:divBdr>
    </w:div>
    <w:div w:id="1796824523">
      <w:bodyDiv w:val="1"/>
      <w:marLeft w:val="0"/>
      <w:marRight w:val="0"/>
      <w:marTop w:val="0"/>
      <w:marBottom w:val="0"/>
      <w:divBdr>
        <w:top w:val="none" w:sz="0" w:space="0" w:color="auto"/>
        <w:left w:val="none" w:sz="0" w:space="0" w:color="auto"/>
        <w:bottom w:val="none" w:sz="0" w:space="0" w:color="auto"/>
        <w:right w:val="none" w:sz="0" w:space="0" w:color="auto"/>
      </w:divBdr>
      <w:divsChild>
        <w:div w:id="745954110">
          <w:marLeft w:val="0"/>
          <w:marRight w:val="0"/>
          <w:marTop w:val="0"/>
          <w:marBottom w:val="0"/>
          <w:divBdr>
            <w:top w:val="none" w:sz="0" w:space="0" w:color="auto"/>
            <w:left w:val="none" w:sz="0" w:space="0" w:color="auto"/>
            <w:bottom w:val="none" w:sz="0" w:space="0" w:color="auto"/>
            <w:right w:val="none" w:sz="0" w:space="0" w:color="auto"/>
          </w:divBdr>
          <w:divsChild>
            <w:div w:id="1883978200">
              <w:marLeft w:val="0"/>
              <w:marRight w:val="0"/>
              <w:marTop w:val="0"/>
              <w:marBottom w:val="0"/>
              <w:divBdr>
                <w:top w:val="none" w:sz="0" w:space="0" w:color="auto"/>
                <w:left w:val="none" w:sz="0" w:space="0" w:color="auto"/>
                <w:bottom w:val="none" w:sz="0" w:space="0" w:color="auto"/>
                <w:right w:val="none" w:sz="0" w:space="0" w:color="auto"/>
              </w:divBdr>
              <w:divsChild>
                <w:div w:id="16163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7773">
      <w:bodyDiv w:val="1"/>
      <w:marLeft w:val="0"/>
      <w:marRight w:val="0"/>
      <w:marTop w:val="0"/>
      <w:marBottom w:val="0"/>
      <w:divBdr>
        <w:top w:val="none" w:sz="0" w:space="0" w:color="auto"/>
        <w:left w:val="none" w:sz="0" w:space="0" w:color="auto"/>
        <w:bottom w:val="none" w:sz="0" w:space="0" w:color="auto"/>
        <w:right w:val="none" w:sz="0" w:space="0" w:color="auto"/>
      </w:divBdr>
    </w:div>
    <w:div w:id="1853838675">
      <w:bodyDiv w:val="1"/>
      <w:marLeft w:val="0"/>
      <w:marRight w:val="0"/>
      <w:marTop w:val="0"/>
      <w:marBottom w:val="0"/>
      <w:divBdr>
        <w:top w:val="none" w:sz="0" w:space="0" w:color="auto"/>
        <w:left w:val="none" w:sz="0" w:space="0" w:color="auto"/>
        <w:bottom w:val="none" w:sz="0" w:space="0" w:color="auto"/>
        <w:right w:val="none" w:sz="0" w:space="0" w:color="auto"/>
      </w:divBdr>
    </w:div>
    <w:div w:id="1927960647">
      <w:bodyDiv w:val="1"/>
      <w:marLeft w:val="0"/>
      <w:marRight w:val="0"/>
      <w:marTop w:val="0"/>
      <w:marBottom w:val="0"/>
      <w:divBdr>
        <w:top w:val="none" w:sz="0" w:space="0" w:color="auto"/>
        <w:left w:val="none" w:sz="0" w:space="0" w:color="auto"/>
        <w:bottom w:val="none" w:sz="0" w:space="0" w:color="auto"/>
        <w:right w:val="none" w:sz="0" w:space="0" w:color="auto"/>
      </w:divBdr>
    </w:div>
    <w:div w:id="1938126437">
      <w:bodyDiv w:val="1"/>
      <w:marLeft w:val="0"/>
      <w:marRight w:val="0"/>
      <w:marTop w:val="0"/>
      <w:marBottom w:val="0"/>
      <w:divBdr>
        <w:top w:val="none" w:sz="0" w:space="0" w:color="auto"/>
        <w:left w:val="none" w:sz="0" w:space="0" w:color="auto"/>
        <w:bottom w:val="none" w:sz="0" w:space="0" w:color="auto"/>
        <w:right w:val="none" w:sz="0" w:space="0" w:color="auto"/>
      </w:divBdr>
    </w:div>
    <w:div w:id="1946955815">
      <w:bodyDiv w:val="1"/>
      <w:marLeft w:val="0"/>
      <w:marRight w:val="0"/>
      <w:marTop w:val="0"/>
      <w:marBottom w:val="0"/>
      <w:divBdr>
        <w:top w:val="none" w:sz="0" w:space="0" w:color="auto"/>
        <w:left w:val="none" w:sz="0" w:space="0" w:color="auto"/>
        <w:bottom w:val="none" w:sz="0" w:space="0" w:color="auto"/>
        <w:right w:val="none" w:sz="0" w:space="0" w:color="auto"/>
      </w:divBdr>
    </w:div>
    <w:div w:id="1976981337">
      <w:bodyDiv w:val="1"/>
      <w:marLeft w:val="0"/>
      <w:marRight w:val="0"/>
      <w:marTop w:val="0"/>
      <w:marBottom w:val="0"/>
      <w:divBdr>
        <w:top w:val="none" w:sz="0" w:space="0" w:color="auto"/>
        <w:left w:val="none" w:sz="0" w:space="0" w:color="auto"/>
        <w:bottom w:val="none" w:sz="0" w:space="0" w:color="auto"/>
        <w:right w:val="none" w:sz="0" w:space="0" w:color="auto"/>
      </w:divBdr>
    </w:div>
    <w:div w:id="2021590404">
      <w:bodyDiv w:val="1"/>
      <w:marLeft w:val="0"/>
      <w:marRight w:val="0"/>
      <w:marTop w:val="0"/>
      <w:marBottom w:val="0"/>
      <w:divBdr>
        <w:top w:val="none" w:sz="0" w:space="0" w:color="auto"/>
        <w:left w:val="none" w:sz="0" w:space="0" w:color="auto"/>
        <w:bottom w:val="none" w:sz="0" w:space="0" w:color="auto"/>
        <w:right w:val="none" w:sz="0" w:space="0" w:color="auto"/>
      </w:divBdr>
    </w:div>
    <w:div w:id="2021882865">
      <w:bodyDiv w:val="1"/>
      <w:marLeft w:val="0"/>
      <w:marRight w:val="0"/>
      <w:marTop w:val="0"/>
      <w:marBottom w:val="0"/>
      <w:divBdr>
        <w:top w:val="none" w:sz="0" w:space="0" w:color="auto"/>
        <w:left w:val="none" w:sz="0" w:space="0" w:color="auto"/>
        <w:bottom w:val="none" w:sz="0" w:space="0" w:color="auto"/>
        <w:right w:val="none" w:sz="0" w:space="0" w:color="auto"/>
      </w:divBdr>
    </w:div>
    <w:div w:id="2040430466">
      <w:bodyDiv w:val="1"/>
      <w:marLeft w:val="0"/>
      <w:marRight w:val="0"/>
      <w:marTop w:val="0"/>
      <w:marBottom w:val="0"/>
      <w:divBdr>
        <w:top w:val="none" w:sz="0" w:space="0" w:color="auto"/>
        <w:left w:val="none" w:sz="0" w:space="0" w:color="auto"/>
        <w:bottom w:val="none" w:sz="0" w:space="0" w:color="auto"/>
        <w:right w:val="none" w:sz="0" w:space="0" w:color="auto"/>
      </w:divBdr>
      <w:divsChild>
        <w:div w:id="1920095615">
          <w:marLeft w:val="0"/>
          <w:marRight w:val="0"/>
          <w:marTop w:val="0"/>
          <w:marBottom w:val="0"/>
          <w:divBdr>
            <w:top w:val="none" w:sz="0" w:space="0" w:color="auto"/>
            <w:left w:val="none" w:sz="0" w:space="0" w:color="auto"/>
            <w:bottom w:val="none" w:sz="0" w:space="0" w:color="auto"/>
            <w:right w:val="none" w:sz="0" w:space="0" w:color="auto"/>
          </w:divBdr>
          <w:divsChild>
            <w:div w:id="534734328">
              <w:marLeft w:val="0"/>
              <w:marRight w:val="0"/>
              <w:marTop w:val="0"/>
              <w:marBottom w:val="0"/>
              <w:divBdr>
                <w:top w:val="none" w:sz="0" w:space="0" w:color="auto"/>
                <w:left w:val="none" w:sz="0" w:space="0" w:color="auto"/>
                <w:bottom w:val="none" w:sz="0" w:space="0" w:color="auto"/>
                <w:right w:val="none" w:sz="0" w:space="0" w:color="auto"/>
              </w:divBdr>
              <w:divsChild>
                <w:div w:id="19597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6420">
      <w:bodyDiv w:val="1"/>
      <w:marLeft w:val="0"/>
      <w:marRight w:val="0"/>
      <w:marTop w:val="0"/>
      <w:marBottom w:val="0"/>
      <w:divBdr>
        <w:top w:val="none" w:sz="0" w:space="0" w:color="auto"/>
        <w:left w:val="none" w:sz="0" w:space="0" w:color="auto"/>
        <w:bottom w:val="none" w:sz="0" w:space="0" w:color="auto"/>
        <w:right w:val="none" w:sz="0" w:space="0" w:color="auto"/>
      </w:divBdr>
    </w:div>
    <w:div w:id="214434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bb.org.bd/monetaryactivity/treasury.php" TargetMode="External"/><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sebd.org" TargetMode="External"/><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2019-09-29T12:20:00Z</cp:lastPrinted>
  <dcterms:created xsi:type="dcterms:W3CDTF">2019-09-29T06:19:00Z</dcterms:created>
  <dcterms:modified xsi:type="dcterms:W3CDTF">2019-09-29T12:20:00Z</dcterms:modified>
</cp:coreProperties>
</file>