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Calibri" w:cs="Calibri" w:eastAsia="Calibri" w:hAnsi="Calibri"/>
          <w:b/>
          <w:bCs/>
          <w:color w:val="1B365D"/>
          <w:sz w:val="34"/>
          <w:szCs w:val="34"/>
        </w:rPr>
        <w:t xml:space="preserve">Architectural Paradigms and Engineering Blueprint for Intelligent Root Cause Analysis in Telecom Cloud Services</w:t>
      </w:r>
    </w:p>
    <w:p>
      <w:pPr>
        <w:spacing w:after="200"/>
        <w:jc w:val="center"/>
      </w:pPr>
      <w:r>
        <w:rPr>
          <w:rFonts w:ascii="Calibri" w:cs="Calibri" w:eastAsia="Calibri" w:hAnsi="Calibri"/>
          <w:color w:val="008080"/>
          <w:sz w:val="24"/>
          <w:szCs w:val="24"/>
        </w:rPr>
        <w:t xml:space="preserve">A Comprehensive Technical Review, Multi-Agent Architecture, and Empirical Reference Report (2023–2026)</w:t>
      </w:r>
    </w:p>
    <w:tbl>
      <w:tblPr>
        <w:tblW w:type="dxa" w:w="9360"/>
        <w:tblBorders>
          <w:top w:val="none"/>
          <w:left w:val="single" w:color="1D4ED8" w:sz="36"/>
          <w:bottom w:val="none"/>
          <w:right w:val="none"/>
          <w:insideH w:val="none"/>
          <w:insideV w:val="none"/>
        </w:tblBorders>
      </w:tblPr>
      <w:tblGrid>
        <w:gridCol w:w="9360"/>
      </w:tblGrid>
      <w:tr>
        <w:tc>
          <w:tcPr>
            <w:tcW w:type="dxa" w:w="9360"/>
            <w:shd w:fill="EFF6FF" w:val="clear"/>
            <w:tcMar>
              <w:top w:type="dxa" w:w="120"/>
              <w:left w:type="dxa" w:w="180"/>
              <w:bottom w:type="dxa" w:w="120"/>
              <w:right w:type="dxa" w:w="160"/>
            </w:tcMar>
          </w:tcPr>
          <w:p>
            <w:pPr>
              <w:spacing w:after="40"/>
            </w:pPr>
            <w:r>
              <w:rPr>
                <w:rFonts w:ascii="Calibri" w:cs="Calibri" w:eastAsia="Calibri" w:hAnsi="Calibri"/>
                <w:b/>
                <w:bCs/>
                <w:color w:val="1D4ED8"/>
                <w:sz w:val="21"/>
                <w:szCs w:val="21"/>
              </w:rPr>
              <w:t xml:space="preserve">DOCUMENT CONTROL &amp; GOVERNANCE</w:t>
            </w:r>
          </w:p>
          <w:p>
            <w:pPr>
              <w:spacing w:after="0" w:line="240"/>
            </w:pPr>
            <w:r>
              <w:rPr>
                <w:rFonts w:ascii="Calibri" w:cs="Calibri" w:eastAsia="Calibri" w:hAnsi="Calibri"/>
                <w:color w:val="222222"/>
                <w:sz w:val="19"/>
                <w:szCs w:val="19"/>
              </w:rPr>
              <w:t xml:space="preserve">Version: 2.0 | Status: Production Baseline | Target: 5G Core SBA, Kubernetes CNFs, Open RAN &amp; AWS Cloud Continuum | Grounded in 15 Peer-Reviewed Academic Research Papers (2023-2026)</w:t>
            </w:r>
          </w:p>
        </w:tc>
      </w:tr>
    </w:tbl>
    <w:p>
      <w:pPr>
        <w:spacing w:after="20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20"/>
        <w:gridCol w:w="6240"/>
      </w:tblGrid>
      <w:tr>
        <w:tc>
          <w:tcPr>
            <w:tcW w:type="dxa" w:w="312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Metadata Field</w:t>
            </w:r>
          </w:p>
        </w:tc>
        <w:tc>
          <w:tcPr>
            <w:tcW w:type="dxa" w:w="624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Project Specification &amp; Operational Value</w:t>
            </w:r>
          </w:p>
        </w:tc>
      </w:tr>
      <w:tr>
        <w:tc>
          <w:tcPr>
            <w:tcW w:type="dxa" w:w="312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Project Title</w:t>
            </w:r>
          </w:p>
        </w:tc>
        <w:tc>
          <w:tcPr>
            <w:tcW w:type="dxa" w:w="62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Intelligent Root Cause Analysis (RCA) Framework for Telecom Cloud Services</w:t>
            </w:r>
          </w:p>
        </w:tc>
      </w:tr>
      <w:tr>
        <w:tc>
          <w:tcPr>
            <w:tcW w:type="dxa" w:w="312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Document Classification</w:t>
            </w:r>
          </w:p>
        </w:tc>
        <w:tc>
          <w:tcPr>
            <w:tcW w:type="dxa" w:w="62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Carrier-Grade Academic &amp; Industrial Technical Review and Implementation Report</w:t>
            </w:r>
          </w:p>
        </w:tc>
      </w:tr>
      <w:tr>
        <w:tc>
          <w:tcPr>
            <w:tcW w:type="dxa" w:w="312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Core Architectural Stacks</w:t>
            </w:r>
          </w:p>
        </w:tc>
        <w:tc>
          <w:tcPr>
            <w:tcW w:type="dxa" w:w="62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3GPP 5G Core SBA (AMF/SMF/UPF), Kubernetes CNF Service Mesh, AWS Cloud Continuum</w:t>
            </w:r>
          </w:p>
        </w:tc>
      </w:tr>
      <w:tr>
        <w:tc>
          <w:tcPr>
            <w:tcW w:type="dxa" w:w="312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Key Innovation Highlights</w:t>
            </w:r>
          </w:p>
        </w:tc>
        <w:tc>
          <w:tcPr>
            <w:tcW w:type="dxa" w:w="62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SOMP Hygiene, MNSUAD 5% Contamination Defense, DTFL Digital Twin, TN-AutoRCA Code Synthesis, MCP Agents, LASM SLA Liability</w:t>
            </w:r>
          </w:p>
        </w:tc>
      </w:tr>
      <w:tr>
        <w:tc>
          <w:tcPr>
            <w:tcW w:type="dxa" w:w="312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Benchmark Evaluation</w:t>
            </w:r>
          </w:p>
        </w:tc>
        <w:tc>
          <w:tcPr>
            <w:tcW w:type="dxa" w:w="62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TN-RCA530 (530 telecom base station cases, 94.5% Difficult) &amp; RCAEval (735 microservice cases)</w:t>
            </w:r>
          </w:p>
        </w:tc>
      </w:tr>
      <w:tr>
        <w:tc>
          <w:tcPr>
            <w:tcW w:type="dxa" w:w="312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Production Datasets</w:t>
            </w:r>
          </w:p>
        </w:tc>
        <w:tc>
          <w:tcPr>
            <w:tcW w:type="dxa" w:w="62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Vodafone 11-Country NFV Production Telemetry &amp; ENCQOR 5G SBA Testbed</w:t>
            </w:r>
          </w:p>
        </w:tc>
      </w:tr>
      <w:tr>
        <w:tc>
          <w:tcPr>
            <w:tcW w:type="dxa" w:w="312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Target Operational Impact</w:t>
            </w:r>
          </w:p>
        </w:tc>
        <w:tc>
          <w:tcPr>
            <w:tcW w:type="dxa" w:w="62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Sub-300s MTTD, &lt;18s automated self-healing, 70% MTTR reduction, 88.97%-91.40% KPI noise reduction</w:t>
            </w:r>
          </w:p>
        </w:tc>
      </w:tr>
    </w:tbl>
    <w:p>
      <w:pPr>
        <w:spacing w:after="260"/>
      </w:pPr>
    </w:p>
    <w:p>
      <w:pPr>
        <w:pStyle w:val="Heading1"/>
        <w:spacing w:after="140" w:before="360"/>
      </w:pPr>
      <w:r>
        <w:rPr>
          <w:rFonts w:ascii="Calibri" w:cs="Calibri" w:eastAsia="Calibri" w:hAnsi="Calibri"/>
          <w:b/>
          <w:bCs/>
          <w:color w:val="1B365D"/>
          <w:sz w:val="28"/>
          <w:szCs w:val="28"/>
        </w:rPr>
        <w:t xml:space="preserve">Executive Synthesis: The Evolution of Telecom Cloud Diagnostics</w:t>
      </w:r>
    </w:p>
    <w:p>
      <w:pPr>
        <w:spacing w:after="110" w:before="0" w:line="260"/>
      </w:pPr>
      <w:r>
        <w:rPr>
          <w:rFonts w:ascii="Calibri" w:cs="Calibri" w:eastAsia="Calibri" w:hAnsi="Calibri"/>
          <w:b w:val="false"/>
          <w:bCs w:val="false"/>
          <w:color w:val="222222"/>
          <w:sz w:val="21"/>
          <w:szCs w:val="21"/>
        </w:rPr>
        <w:t xml:space="preserve">Today, modern telecommunication networks and digital internet services rely almost entirely on cloud computing. Instead of running mobile networks on dedicated, proprietary hardware boxes (Physical Network Functions), modern telecom operators deploy containerized Cloud-Native Network Functions (CNFs) inside Kubernetes clusters on commercial off-the-shelf cloud hardware. While this cloudification provides unmatched flexibility, elastic scaling, and faster feature updates, it creates a massive operational challenge when something breaks.</w:t>
      </w:r>
    </w:p>
    <w:p>
      <w:pPr>
        <w:pStyle w:val="Heading2"/>
        <w:spacing w:after="100" w:before="240"/>
      </w:pPr>
      <w:r>
        <w:rPr>
          <w:rFonts w:ascii="Calibri" w:cs="Calibri" w:eastAsia="Calibri" w:hAnsi="Calibri"/>
          <w:b/>
          <w:bCs/>
          <w:color w:val="008080"/>
          <w:sz w:val="24"/>
          <w:szCs w:val="24"/>
        </w:rPr>
        <w:t xml:space="preserve">The Core Operational Dilemma: Broken Cables vs. Crashed Servers</w:t>
      </w:r>
    </w:p>
    <w:p>
      <w:pPr>
        <w:spacing w:after="110" w:before="0" w:line="260"/>
      </w:pPr>
      <w:r>
        <w:rPr>
          <w:rFonts w:ascii="Calibri" w:cs="Calibri" w:eastAsia="Calibri" w:hAnsi="Calibri"/>
          <w:b w:val="false"/>
          <w:bCs w:val="false"/>
          <w:color w:val="222222"/>
          <w:sz w:val="21"/>
          <w:szCs w:val="21"/>
        </w:rPr>
        <w:t xml:space="preserve">When a mobile call drops or a 5G data slice slows down, network operations center (NOC) engineers face an immediate puzzle: Did the outage happen because of a physical fiber cut, BGP route flapping, or optical link degradation (the telecom transport side)? Or did it occur because a software container ran out of memory, deadlocked a database thread pool, or crashed (the cloud computing side)?</w:t>
      </w:r>
    </w:p>
    <w:p>
      <w:pPr>
        <w:spacing w:after="110" w:before="0" w:line="260"/>
      </w:pPr>
      <w:r>
        <w:rPr>
          <w:rFonts w:ascii="Calibri" w:cs="Calibri" w:eastAsia="Calibri" w:hAnsi="Calibri"/>
          <w:b w:val="false"/>
          <w:bCs w:val="false"/>
          <w:color w:val="222222"/>
          <w:sz w:val="21"/>
          <w:szCs w:val="21"/>
        </w:rPr>
        <w:t xml:space="preserve">In traditional architectures, these two worlds were monitored by separate teams using disconnected tools. In a cloudified 5G network, however, an issue in one layer cascades instantly into the other. A slight slowdown in an underlying cloud hypervisor causes 5G Core control-plane messages to time out, which causes mobile base stations to disconnect, generating tens of thousands of confusing alarms and millions of error log lines. Today, human engineers are forced to manually dig through this mountain of logs. This manual detective work takes hours, keeping critical communication services offline far too long.</w:t>
      </w:r>
    </w:p>
    <w:p>
      <w:pPr>
        <w:pStyle w:val="Heading2"/>
        <w:spacing w:after="100" w:before="240"/>
      </w:pPr>
      <w:r>
        <w:rPr>
          <w:rFonts w:ascii="Calibri" w:cs="Calibri" w:eastAsia="Calibri" w:hAnsi="Calibri"/>
          <w:b/>
          <w:bCs/>
          <w:color w:val="008080"/>
          <w:sz w:val="24"/>
          <w:szCs w:val="24"/>
        </w:rPr>
        <w:t xml:space="preserve">The Automated AI Solution: An Intelligent Multi-Agent Detective</w:t>
      </w:r>
    </w:p>
    <w:p>
      <w:pPr>
        <w:spacing w:after="110" w:before="0" w:line="260"/>
      </w:pPr>
      <w:r>
        <w:rPr>
          <w:rFonts w:ascii="Calibri" w:cs="Calibri" w:eastAsia="Calibri" w:hAnsi="Calibri"/>
          <w:b w:val="false"/>
          <w:bCs w:val="false"/>
          <w:color w:val="222222"/>
          <w:sz w:val="21"/>
          <w:szCs w:val="21"/>
        </w:rPr>
        <w:t xml:space="preserve">This project builds a state-of-the-art, automated AI system to solve this problem in minutes instead of hours. The framework deploys specialized AI agents and machine learning algorithms that watch both the telecom transport network and the cloud servers at the same time:</w:t>
      </w:r>
    </w:p>
    <w:p>
      <w:pPr>
        <w:pStyle w:val="ListParagraph"/>
        <w:numPr>
          <w:ilvl w:val="0"/>
          <w:numId w:val="1"/>
        </w:numPr>
        <w:spacing w:after="80" w:before="40" w:line="250"/>
      </w:pPr>
      <w:r>
        <w:rPr>
          <w:rFonts w:ascii="Calibri" w:cs="Calibri" w:eastAsia="Calibri" w:hAnsi="Calibri"/>
          <w:b/>
          <w:bCs/>
          <w:color w:val="1B365D"/>
          <w:sz w:val="20"/>
          <w:szCs w:val="20"/>
        </w:rPr>
        <w:t xml:space="preserve">Automated Telemetry Clean-up (Hygiene &amp; SOMP): </w:t>
      </w:r>
      <w:r>
        <w:rPr>
          <w:rFonts w:ascii="Calibri" w:cs="Calibri" w:eastAsia="Calibri" w:hAnsi="Calibri"/>
          <w:color w:val="222222"/>
          <w:sz w:val="20"/>
          <w:szCs w:val="20"/>
        </w:rPr>
        <w:t xml:space="preserve">Cleans away up to 91% of meaningless background noise and safely standardizes counters before AI models ever see them.</w:t>
      </w:r>
    </w:p>
    <w:p>
      <w:pPr>
        <w:pStyle w:val="ListParagraph"/>
        <w:numPr>
          <w:ilvl w:val="0"/>
          <w:numId w:val="1"/>
        </w:numPr>
        <w:spacing w:after="80" w:before="40" w:line="250"/>
      </w:pPr>
      <w:r>
        <w:rPr>
          <w:rFonts w:ascii="Calibri" w:cs="Calibri" w:eastAsia="Calibri" w:hAnsi="Calibri"/>
          <w:b/>
          <w:bCs/>
          <w:color w:val="1B365D"/>
          <w:sz w:val="20"/>
          <w:szCs w:val="20"/>
        </w:rPr>
        <w:t xml:space="preserve">Contamination-Resilient AI (MNSUAD &amp; TeleGAN-Core): </w:t>
      </w:r>
      <w:r>
        <w:rPr>
          <w:rFonts w:ascii="Calibri" w:cs="Calibri" w:eastAsia="Calibri" w:hAnsi="Calibri"/>
          <w:color w:val="222222"/>
          <w:sz w:val="20"/>
          <w:szCs w:val="20"/>
        </w:rPr>
        <w:t xml:space="preserve">Accurately detects anomalies even when past operational data contains up to 5% hidden errors and unrecorded glitches.</w:t>
      </w:r>
    </w:p>
    <w:p>
      <w:pPr>
        <w:pStyle w:val="ListParagraph"/>
        <w:numPr>
          <w:ilvl w:val="0"/>
          <w:numId w:val="1"/>
        </w:numPr>
        <w:spacing w:after="80" w:before="40" w:line="250"/>
      </w:pPr>
      <w:r>
        <w:rPr>
          <w:rFonts w:ascii="Calibri" w:cs="Calibri" w:eastAsia="Calibri" w:hAnsi="Calibri"/>
          <w:b/>
          <w:bCs/>
          <w:color w:val="1B365D"/>
          <w:sz w:val="20"/>
          <w:szCs w:val="20"/>
        </w:rPr>
        <w:t xml:space="preserve">Digital Twin &amp; Active Probing (DTFL &amp; ConfExp): </w:t>
      </w:r>
      <w:r>
        <w:rPr>
          <w:rFonts w:ascii="Calibri" w:cs="Calibri" w:eastAsia="Calibri" w:hAnsi="Calibri"/>
          <w:color w:val="222222"/>
          <w:sz w:val="20"/>
          <w:szCs w:val="20"/>
        </w:rPr>
        <w:t xml:space="preserve">Maintains a live virtual twin of network connections to trace fault propagation, running targeted active tests to confirm suspected configuration bugs.</w:t>
      </w:r>
    </w:p>
    <w:p>
      <w:pPr>
        <w:pStyle w:val="ListParagraph"/>
        <w:numPr>
          <w:ilvl w:val="0"/>
          <w:numId w:val="1"/>
        </w:numPr>
        <w:spacing w:after="80" w:before="40" w:line="250"/>
      </w:pPr>
      <w:r>
        <w:rPr>
          <w:rFonts w:ascii="Calibri" w:cs="Calibri" w:eastAsia="Calibri" w:hAnsi="Calibri"/>
          <w:b/>
          <w:bCs/>
          <w:color w:val="1B365D"/>
          <w:sz w:val="20"/>
          <w:szCs w:val="20"/>
        </w:rPr>
        <w:t xml:space="preserve">Self-Improving Code-Synthesizing Agents (TN-AutoRCA): </w:t>
      </w:r>
      <w:r>
        <w:rPr>
          <w:rFonts w:ascii="Calibri" w:cs="Calibri" w:eastAsia="Calibri" w:hAnsi="Calibri"/>
          <w:color w:val="222222"/>
          <w:sz w:val="20"/>
          <w:szCs w:val="20"/>
        </w:rPr>
        <w:t xml:space="preserve">Instead of guessing answers, AI agents write and test executable graph-traversal code, boosting alarm troubleshooting accuracy from ~59% to over 91%.</w:t>
      </w:r>
    </w:p>
    <w:p>
      <w:pPr>
        <w:pStyle w:val="ListParagraph"/>
        <w:numPr>
          <w:ilvl w:val="0"/>
          <w:numId w:val="1"/>
        </w:numPr>
        <w:spacing w:after="80" w:before="40" w:line="250"/>
      </w:pPr>
      <w:r>
        <w:rPr>
          <w:rFonts w:ascii="Calibri" w:cs="Calibri" w:eastAsia="Calibri" w:hAnsi="Calibri"/>
          <w:b/>
          <w:bCs/>
          <w:color w:val="1B365D"/>
          <w:sz w:val="20"/>
          <w:szCs w:val="20"/>
        </w:rPr>
        <w:t xml:space="preserve">Standardized Model Context Protocol (MCP): </w:t>
      </w:r>
      <w:r>
        <w:rPr>
          <w:rFonts w:ascii="Calibri" w:cs="Calibri" w:eastAsia="Calibri" w:hAnsi="Calibri"/>
          <w:color w:val="222222"/>
          <w:sz w:val="20"/>
          <w:szCs w:val="20"/>
        </w:rPr>
        <w:t xml:space="preserve">Connects AI agents safely to live Kubernetes and 5G Core interfaces without risking hallucinated commands.</w:t>
      </w:r>
    </w:p>
    <w:p>
      <w:pPr>
        <w:pStyle w:val="ListParagraph"/>
        <w:numPr>
          <w:ilvl w:val="0"/>
          <w:numId w:val="1"/>
        </w:numPr>
        <w:spacing w:after="80" w:before="40" w:line="250"/>
      </w:pPr>
      <w:r>
        <w:rPr>
          <w:rFonts w:ascii="Calibri" w:cs="Calibri" w:eastAsia="Calibri" w:hAnsi="Calibri"/>
          <w:b/>
          <w:bCs/>
          <w:color w:val="1B365D"/>
          <w:sz w:val="20"/>
          <w:szCs w:val="20"/>
        </w:rPr>
        <w:t xml:space="preserve">Contractual Liability Attribution (LASM): </w:t>
      </w:r>
      <w:r>
        <w:rPr>
          <w:rFonts w:ascii="Calibri" w:cs="Calibri" w:eastAsia="Calibri" w:hAnsi="Calibri"/>
          <w:color w:val="222222"/>
          <w:sz w:val="20"/>
          <w:szCs w:val="20"/>
        </w:rPr>
        <w:t xml:space="preserve">Calculates dynamic trust scores and assigns fair 10% to 30% financial penalties across multi-tenant cloud partners.</w:t>
      </w:r>
    </w:p>
    <w:p>
      <w:pPr>
        <w:pStyle w:val="ListParagraph"/>
        <w:numPr>
          <w:ilvl w:val="0"/>
          <w:numId w:val="1"/>
        </w:numPr>
        <w:spacing w:after="80" w:before="40" w:line="250"/>
      </w:pPr>
      <w:r>
        <w:rPr>
          <w:rFonts w:ascii="Calibri" w:cs="Calibri" w:eastAsia="Calibri" w:hAnsi="Calibri"/>
          <w:b/>
          <w:bCs/>
          <w:color w:val="1B365D"/>
          <w:sz w:val="20"/>
          <w:szCs w:val="20"/>
        </w:rPr>
        <w:t xml:space="preserve">Operator Web Dashboard: </w:t>
      </w:r>
      <w:r>
        <w:rPr>
          <w:rFonts w:ascii="Calibri" w:cs="Calibri" w:eastAsia="Calibri" w:hAnsi="Calibri"/>
          <w:color w:val="222222"/>
          <w:sz w:val="20"/>
          <w:szCs w:val="20"/>
        </w:rPr>
        <w:t xml:space="preserve">Translates complex graph analytics into an easy-to-read web portal, displaying the exact root cause, a visual fault story, and automated fix buttons.</w:t>
      </w:r>
    </w:p>
    <w:tbl>
      <w:tblPr>
        <w:tblW w:type="dxa" w:w="9360"/>
        <w:tblBorders>
          <w:top w:val="none"/>
          <w:left w:val="single" w:color="1D4ED8" w:sz="36"/>
          <w:bottom w:val="none"/>
          <w:right w:val="none"/>
          <w:insideH w:val="none"/>
          <w:insideV w:val="none"/>
        </w:tblBorders>
      </w:tblPr>
      <w:tblGrid>
        <w:gridCol w:w="9360"/>
      </w:tblGrid>
      <w:tr>
        <w:tc>
          <w:tcPr>
            <w:tcW w:type="dxa" w:w="9360"/>
            <w:shd w:fill="EFF6FF" w:val="clear"/>
            <w:tcMar>
              <w:top w:type="dxa" w:w="120"/>
              <w:left w:type="dxa" w:w="180"/>
              <w:bottom w:type="dxa" w:w="120"/>
              <w:right w:type="dxa" w:w="160"/>
            </w:tcMar>
          </w:tcPr>
          <w:p>
            <w:pPr>
              <w:spacing w:after="40"/>
            </w:pPr>
            <w:r>
              <w:rPr>
                <w:rFonts w:ascii="Calibri" w:cs="Calibri" w:eastAsia="Calibri" w:hAnsi="Calibri"/>
                <w:b/>
                <w:bCs/>
                <w:color w:val="1D4ED8"/>
                <w:sz w:val="21"/>
                <w:szCs w:val="21"/>
              </w:rPr>
              <w:t xml:space="preserve">CORE VALUE PROPOSITION</w:t>
            </w:r>
          </w:p>
          <w:p>
            <w:pPr>
              <w:spacing w:after="0" w:line="240"/>
            </w:pPr>
            <w:r>
              <w:rPr>
                <w:rFonts w:ascii="Calibri" w:cs="Calibri" w:eastAsia="Calibri" w:hAnsi="Calibri"/>
                <w:color w:val="222222"/>
                <w:sz w:val="19"/>
                <w:szCs w:val="19"/>
              </w:rPr>
              <w:t xml:space="preserve">By replacing slow, manual searches across thousands of error logs with fast, governed AI agents, this framework helps engineers identify root causes and restore telecom services in less than 5 minutes—achieving a 70% reduction in downtime.</w:t>
            </w:r>
          </w:p>
        </w:tc>
      </w:tr>
    </w:tbl>
    <w:p>
      <w:pPr>
        <w:spacing w:after="240"/>
      </w:pPr>
    </w:p>
    <w:p>
      <w:pPr>
        <w:pStyle w:val="Heading1"/>
        <w:spacing w:after="140" w:before="360"/>
      </w:pPr>
      <w:r>
        <w:rPr>
          <w:rFonts w:ascii="Calibri" w:cs="Calibri" w:eastAsia="Calibri" w:hAnsi="Calibri"/>
          <w:b/>
          <w:bCs/>
          <w:color w:val="1B365D"/>
          <w:sz w:val="28"/>
          <w:szCs w:val="28"/>
        </w:rPr>
        <w:t xml:space="preserve">1. Literature Foundation: Review of 15 Verifiable Papers (2023–2026)</w:t>
      </w:r>
    </w:p>
    <w:p>
      <w:pPr>
        <w:spacing w:after="110" w:before="0" w:line="260"/>
      </w:pPr>
      <w:r>
        <w:rPr>
          <w:rFonts w:ascii="Calibri" w:cs="Calibri" w:eastAsia="Calibri" w:hAnsi="Calibri"/>
          <w:b w:val="false"/>
          <w:bCs w:val="false"/>
          <w:color w:val="222222"/>
          <w:sz w:val="21"/>
          <w:szCs w:val="21"/>
        </w:rPr>
        <w:t xml:space="preserve">To establish a rigorous, peer-reviewed engineering foundation, Table 1 synthesizes the 15 foundational research papers (published between 2023 and 2026) that define the state of the art in telecom cloud root cause analysis.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460"/>
        <w:gridCol w:w="1500"/>
        <w:gridCol w:w="1500"/>
        <w:gridCol w:w="3100"/>
        <w:gridCol w:w="2800"/>
      </w:tblGrid>
      <w:tr>
        <w:tc>
          <w:tcPr>
            <w:tcW w:type="dxa" w:w="46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ID</w:t>
            </w:r>
          </w:p>
        </w:tc>
        <w:tc>
          <w:tcPr>
            <w:tcW w:type="dxa" w:w="150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Authors &amp; Year</w:t>
            </w:r>
          </w:p>
        </w:tc>
        <w:tc>
          <w:tcPr>
            <w:tcW w:type="dxa" w:w="150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Venue &amp; Domain</w:t>
            </w:r>
          </w:p>
        </w:tc>
        <w:tc>
          <w:tcPr>
            <w:tcW w:type="dxa" w:w="310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Core Algorithmic &amp; Architectural Mechanism</w:t>
            </w:r>
          </w:p>
        </w:tc>
        <w:tc>
          <w:tcPr>
            <w:tcW w:type="dxa" w:w="280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Key Empirical &amp; Quantitative Finding</w:t>
            </w:r>
          </w:p>
        </w:tc>
      </w:tr>
      <w:tr>
        <w:tc>
          <w:tcPr>
            <w:tcW w:type="dxa" w:w="46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1</w:t>
            </w:r>
          </w:p>
        </w:tc>
        <w:tc>
          <w:tcPr>
            <w:tcW w:type="dxa" w:w="1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Johari, Shahriar, Tornatore, et al. (2025)</w:t>
            </w:r>
          </w:p>
        </w:tc>
        <w:tc>
          <w:tcPr>
            <w:tcW w:type="dxa" w:w="1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IEEE Trans. Mobile Comput. (TMC) / NFV</w:t>
            </w:r>
          </w:p>
        </w:tc>
        <w:tc>
          <w:tcPr>
            <w:tcW w:type="dxa" w:w="31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MNSUAD: DAGMM teacher filtering (eta1,eta2,eta3) + Transformer-MAE &amp; DevNet student; XAI via Mask/Cluster Permutation and SHAP.</w:t>
            </w:r>
          </w:p>
        </w:tc>
        <w:tc>
          <w:tcPr>
            <w:tcW w:type="dxa" w:w="28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Up to +20% F1 anomaly detection &amp; +22% F1 fault localization under 5% data contamination on Vodafone 11-country NFV dataset.</w:t>
            </w:r>
          </w:p>
        </w:tc>
      </w:tr>
      <w:tr>
        <w:tc>
          <w:tcPr>
            <w:tcW w:type="dxa" w:w="46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2</w:t>
            </w:r>
          </w:p>
        </w:tc>
        <w:tc>
          <w:tcPr>
            <w:tcW w:type="dxa" w:w="15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Guo, Chen, Dong, Zou, et al. (2023)</w:t>
            </w:r>
          </w:p>
        </w:tc>
        <w:tc>
          <w:tcPr>
            <w:tcW w:type="dxa" w:w="15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IEEE Trans. Cloud Comput. (TCC) / SFC</w:t>
            </w:r>
          </w:p>
        </w:tc>
        <w:tc>
          <w:tcPr>
            <w:tcW w:type="dxa" w:w="31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DTFL: 3-layer Digital Twin (Physical, SFC-Twin, Service) with fault injection, BERT text embeddings, transGNN, and BDF-FL search.</w:t>
            </w:r>
          </w:p>
        </w:tc>
        <w:tc>
          <w:tcPr>
            <w:tcW w:type="dxa" w:w="28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~13% higher RCA accuracy over non-Digital Twin baselines; effectively mitigates severe class imbalance and dynamic topology shifts.</w:t>
            </w:r>
          </w:p>
        </w:tc>
      </w:tr>
      <w:tr>
        <w:tc>
          <w:tcPr>
            <w:tcW w:type="dxa" w:w="46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3</w:t>
            </w:r>
          </w:p>
        </w:tc>
        <w:tc>
          <w:tcPr>
            <w:tcW w:type="dxa" w:w="1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Anser, Gaber, Wary, et al. (2025)</w:t>
            </w:r>
          </w:p>
        </w:tc>
        <w:tc>
          <w:tcPr>
            <w:tcW w:type="dxa" w:w="1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IEEE Trans. Netw. Serv. Manage. (TNSM) / 5G Edge</w:t>
            </w:r>
          </w:p>
        </w:tc>
        <w:tc>
          <w:tcPr>
            <w:tcW w:type="dxa" w:w="31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LASM Analysis Service (LAS): Machine learning-driven root cause, dynamic trust scoring, and SLA liability attribution (INSPIRE-5Gplus).</w:t>
            </w:r>
          </w:p>
        </w:tc>
        <w:tc>
          <w:tcPr>
            <w:tcW w:type="dxa" w:w="28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Quantifies multi-actor SLA violation penalties (10%-30% Monthly Recurring Charge MRC gradations) and isolates culpable microservices.</w:t>
            </w:r>
          </w:p>
        </w:tc>
      </w:tr>
      <w:tr>
        <w:tc>
          <w:tcPr>
            <w:tcW w:type="dxa" w:w="46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4</w:t>
            </w:r>
          </w:p>
        </w:tc>
        <w:tc>
          <w:tcPr>
            <w:tcW w:type="dxa" w:w="15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Issa, Kandil, Hakem, &amp; Hamou-Lhadj (2026)</w:t>
            </w:r>
          </w:p>
        </w:tc>
        <w:tc>
          <w:tcPr>
            <w:tcW w:type="dxa" w:w="15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IEEE Access / Cloud-Native 5G Core</w:t>
            </w:r>
          </w:p>
        </w:tc>
        <w:tc>
          <w:tcPr>
            <w:tcW w:type="dxa" w:w="31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TeleGAN-Core: 3-lane pipeline with Service-Oriented Metric Preprocessing (SOMP) and BiLSTM Dual-Autoencoder GAN with critic gap penalty.</w:t>
            </w:r>
          </w:p>
        </w:tc>
        <w:tc>
          <w:tcPr>
            <w:tcW w:type="dxa" w:w="28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Eliminates static threshold alert fatigue on ENCQOR 5G dataset; attributes anomalies directly to 5GC NFs and PM counters.</w:t>
            </w:r>
          </w:p>
        </w:tc>
      </w:tr>
      <w:tr>
        <w:tc>
          <w:tcPr>
            <w:tcW w:type="dxa" w:w="46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5</w:t>
            </w:r>
          </w:p>
        </w:tc>
        <w:tc>
          <w:tcPr>
            <w:tcW w:type="dxa" w:w="1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Panek, Matysiak, Ziółkowski, et al. (2025)</w:t>
            </w:r>
          </w:p>
        </w:tc>
        <w:tc>
          <w:tcPr>
            <w:tcW w:type="dxa" w:w="1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IEEE ICC Workshops / 5G K8s CNFs</w:t>
            </w:r>
          </w:p>
        </w:tc>
        <w:tc>
          <w:tcPr>
            <w:tcW w:type="dxa" w:w="31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TAIA: Modular multi-agent AI assistant; step-by-step cognitive decomposition, ontology grounding, Prometheus closed-loop state re-evaluation, and HITL.</w:t>
            </w:r>
          </w:p>
        </w:tc>
        <w:tc>
          <w:tcPr>
            <w:tcW w:type="dxa" w:w="28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Automates cross-layer diagnostics across cloud infrastructure and CNFs while strictly preventing probabilistic LLM hallucinations in live clusters.</w:t>
            </w:r>
          </w:p>
        </w:tc>
      </w:tr>
      <w:tr>
        <w:tc>
          <w:tcPr>
            <w:tcW w:type="dxa" w:w="46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6</w:t>
            </w:r>
          </w:p>
        </w:tc>
        <w:tc>
          <w:tcPr>
            <w:tcW w:type="dxa" w:w="15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Woo &amp; Woo (2025)</w:t>
            </w:r>
          </w:p>
        </w:tc>
        <w:tc>
          <w:tcPr>
            <w:tcW w:type="dxa" w:w="15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IEEE/IFIP CNSM / NFV MANO &amp; 5GC</w:t>
            </w:r>
          </w:p>
        </w:tc>
        <w:tc>
          <w:tcPr>
            <w:tcW w:type="dxa" w:w="31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NFVAgent: Retrieval-Augmented Generation (RAG) LLM agent integrated with ETSI NFV-MANO for automated root cause diagnosis and failure recovery.</w:t>
            </w:r>
          </w:p>
        </w:tc>
        <w:tc>
          <w:tcPr>
            <w:tcW w:type="dxa" w:w="28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Grounds recovery workflows in historical NFV operational corpora, eliminating manual troubleshooting bottlenecks without costly fine-tuning.</w:t>
            </w:r>
          </w:p>
        </w:tc>
      </w:tr>
      <w:tr>
        <w:tc>
          <w:tcPr>
            <w:tcW w:type="dxa" w:w="46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7</w:t>
            </w:r>
          </w:p>
        </w:tc>
        <w:tc>
          <w:tcPr>
            <w:tcW w:type="dxa" w:w="1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Wu, Yu, Mei, Liu, Wang, et al. (2025/2026)</w:t>
            </w:r>
          </w:p>
        </w:tc>
        <w:tc>
          <w:tcPr>
            <w:tcW w:type="dxa" w:w="1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ICLR 2026 / 5G Base Stations (BBU/RRU)</w:t>
            </w:r>
          </w:p>
        </w:tc>
        <w:tc>
          <w:tcPr>
            <w:tcW w:type="dxa" w:w="31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TN-AutoRCA &amp; TN-RCA530: 530 operational alarm benchmark scenarios (94.5% Difficult) + evaluate-analyze-repair loop synthesizing traversal code.</w:t>
            </w:r>
          </w:p>
        </w:tc>
        <w:tc>
          <w:tcPr>
            <w:tcW w:type="dxa" w:w="28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Elevates Gemini-2.5-Pro RCA F1-score from 58.99% baseline to 91.79% via iterative contrastive feedback and code repair.</w:t>
            </w:r>
          </w:p>
        </w:tc>
      </w:tr>
      <w:tr>
        <w:tc>
          <w:tcPr>
            <w:tcW w:type="dxa" w:w="46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8</w:t>
            </w:r>
          </w:p>
        </w:tc>
        <w:tc>
          <w:tcPr>
            <w:tcW w:type="dxa" w:w="15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Enz, Nigg, Kalinagac, et al. (2024)</w:t>
            </w:r>
          </w:p>
        </w:tc>
        <w:tc>
          <w:tcPr>
            <w:tcW w:type="dxa" w:w="15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IEEE ICC Workshops / Telco Cloud-Edge</w:t>
            </w:r>
          </w:p>
        </w:tc>
        <w:tc>
          <w:tcPr>
            <w:tcW w:type="dxa" w:w="31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MALEAF: Machine learning-driven anomaly detection, root cause localization, and multi-class fault classification (CPU, memory, packet loss).</w:t>
            </w:r>
          </w:p>
        </w:tc>
        <w:tc>
          <w:tcPr>
            <w:tcW w:type="dxa" w:w="28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Accurately localizes culprit containers and classifies multi-class fault types across dynamic cloud-to-edge continuums.</w:t>
            </w:r>
          </w:p>
        </w:tc>
      </w:tr>
      <w:tr>
        <w:tc>
          <w:tcPr>
            <w:tcW w:type="dxa" w:w="46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9</w:t>
            </w:r>
          </w:p>
        </w:tc>
        <w:tc>
          <w:tcPr>
            <w:tcW w:type="dxa" w:w="1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Heeb, Kalinagac, Soussi, &amp; Gür (2023)</w:t>
            </w:r>
          </w:p>
        </w:tc>
        <w:tc>
          <w:tcPr>
            <w:tcW w:type="dxa" w:w="1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ACM SAC / IoT-Extended 5G Microservices</w:t>
            </w:r>
          </w:p>
        </w:tc>
        <w:tc>
          <w:tcPr>
            <w:tcW w:type="dxa" w:w="31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IoMiRCA: Cross-tier dependency and telemetry correlation framework across IoT-extended 5G edge and core microservices.</w:t>
            </w:r>
          </w:p>
        </w:tc>
        <w:tc>
          <w:tcPr>
            <w:tcW w:type="dxa" w:w="28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Pinpoints fault origins propagating from constrained edge IoT gateways into 5G core microservice chains.</w:t>
            </w:r>
          </w:p>
        </w:tc>
      </w:tr>
      <w:tr>
        <w:tc>
          <w:tcPr>
            <w:tcW w:type="dxa" w:w="46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10</w:t>
            </w:r>
          </w:p>
        </w:tc>
        <w:tc>
          <w:tcPr>
            <w:tcW w:type="dxa" w:w="15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Wang, Liao, Yang, Feng, &amp; Xu (2025/2026)</w:t>
            </w:r>
          </w:p>
        </w:tc>
        <w:tc>
          <w:tcPr>
            <w:tcW w:type="dxa" w:w="15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IEEE CRESS / Cloud-Native 5G Core</w:t>
            </w:r>
          </w:p>
        </w:tc>
        <w:tc>
          <w:tcPr>
            <w:tcW w:type="dxa" w:w="31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Two-Stage Multi-Source RCA: Coarse anomaly screening (Stage 1) + cross-modal correlation fusing NF text logs, packet traffic, and container metrics (Stage 2).</w:t>
            </w:r>
          </w:p>
        </w:tc>
        <w:tc>
          <w:tcPr>
            <w:tcW w:type="dxa" w:w="28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Overcomes single-modality blind spots for complex control-plane signaling anomalies manifesting across log and metric planes.</w:t>
            </w:r>
          </w:p>
        </w:tc>
      </w:tr>
      <w:tr>
        <w:tc>
          <w:tcPr>
            <w:tcW w:type="dxa" w:w="46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11</w:t>
            </w:r>
          </w:p>
        </w:tc>
        <w:tc>
          <w:tcPr>
            <w:tcW w:type="dxa" w:w="1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Isaac et al. / Jarrah et al. (2024/2025)</w:t>
            </w:r>
          </w:p>
        </w:tc>
        <w:tc>
          <w:tcPr>
            <w:tcW w:type="dxa" w:w="1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IEEE ICC Wksps &amp; arXiv / 5GC PCAP Signaling</w:t>
            </w:r>
          </w:p>
        </w:tc>
        <w:tc>
          <w:tcPr>
            <w:tcW w:type="dxa" w:w="31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Golden Flow + Protocol-Grouped SVM + GenAI: Wireshark JSON extraction, deterministic 3GPP call-flow verifier, protocol-grouped SVM, domain-tuned LLM.</w:t>
            </w:r>
          </w:p>
        </w:tc>
        <w:tc>
          <w:tcPr>
            <w:tcW w:type="dxa" w:w="28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Achieves 100% fault detection accuracy on 5GC Registration, PDU Session, and Deregistration; pinpoints exact frame (e.g. Frame 23 Congestion).</w:t>
            </w:r>
          </w:p>
        </w:tc>
      </w:tr>
      <w:tr>
        <w:tc>
          <w:tcPr>
            <w:tcW w:type="dxa" w:w="46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12</w:t>
            </w:r>
          </w:p>
        </w:tc>
        <w:tc>
          <w:tcPr>
            <w:tcW w:type="dxa" w:w="15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Koushki, El-Shekeil, &amp; Kant (2025)</w:t>
            </w:r>
          </w:p>
        </w:tc>
        <w:tc>
          <w:tcPr>
            <w:tcW w:type="dxa" w:w="15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J. Netw. Syst. Manage. (JNSM) / Enterprise &amp; Telco</w:t>
            </w:r>
          </w:p>
        </w:tc>
        <w:tc>
          <w:tcPr>
            <w:tcW w:type="dxa" w:w="31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ConfExp: Active diagnostic probing over SEED emulator using 2D Configuration Variable (CV) relevance matrix and dynamic confidence updating.</w:t>
            </w:r>
          </w:p>
        </w:tc>
        <w:tc>
          <w:tcPr>
            <w:tcW w:type="dxa" w:w="28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Deterministically isolates root-cause misconfigurations across DNS, DHCP, routing, and firewall rules whenever discriminative tests exist.</w:t>
            </w:r>
          </w:p>
        </w:tc>
      </w:tr>
      <w:tr>
        <w:tc>
          <w:tcPr>
            <w:tcW w:type="dxa" w:w="46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13</w:t>
            </w:r>
          </w:p>
        </w:tc>
        <w:tc>
          <w:tcPr>
            <w:tcW w:type="dxa" w:w="1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Wang et al. (2024)</w:t>
            </w:r>
          </w:p>
        </w:tc>
        <w:tc>
          <w:tcPr>
            <w:tcW w:type="dxa" w:w="1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IEEE OJ-COMS / 5G/6G Zero-Touch Networks</w:t>
            </w:r>
          </w:p>
        </w:tc>
        <w:tc>
          <w:tcPr>
            <w:tcW w:type="dxa" w:w="31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XAI for 6G Diagnostics: Integrates SHAP, LIME, Layer-wise Relevance Propagation (LRP), surrogate trees, and counterfactual explanations in control loops.</w:t>
            </w:r>
          </w:p>
        </w:tc>
        <w:tc>
          <w:tcPr>
            <w:tcW w:type="dxa" w:w="28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Diagnoses root causes of physical/virtual service faults AND erroneous decisions made by black-box AI control layers.</w:t>
            </w:r>
          </w:p>
        </w:tc>
      </w:tr>
      <w:tr>
        <w:tc>
          <w:tcPr>
            <w:tcW w:type="dxa" w:w="46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14</w:t>
            </w:r>
          </w:p>
        </w:tc>
        <w:tc>
          <w:tcPr>
            <w:tcW w:type="dxa" w:w="15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Chen, Wang, Yin, et al. (2025/2026)</w:t>
            </w:r>
          </w:p>
        </w:tc>
        <w:tc>
          <w:tcPr>
            <w:tcW w:type="dxa" w:w="15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Int. J. Netw. Manage. (IJNM) / Cross-Domain 5G/6G</w:t>
            </w:r>
          </w:p>
        </w:tc>
        <w:tc>
          <w:tcPr>
            <w:tcW w:type="dxa" w:w="31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MCP-Diag &amp; NIKA ReAct Agents: Two-step LangGraph ReAct agents using Model Context Protocol (MCP) over NWDAF, Transport INT, and Prometheus.</w:t>
            </w:r>
          </w:p>
        </w:tc>
        <w:tc>
          <w:tcPr>
            <w:tcW w:type="dxa" w:w="28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MCP-Diag achieves 100% entity extraction accuracy with &lt;0.9% latency overhead; virtually eliminates severe tool hallucinations across 150 incidents.</w:t>
            </w:r>
          </w:p>
        </w:tc>
      </w:tr>
      <w:tr>
        <w:tc>
          <w:tcPr>
            <w:tcW w:type="dxa" w:w="46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15</w:t>
            </w:r>
          </w:p>
        </w:tc>
        <w:tc>
          <w:tcPr>
            <w:tcW w:type="dxa" w:w="1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Frontiers in AI (2025) &amp; MDPI Appl. Sci. (2026)</w:t>
            </w:r>
          </w:p>
        </w:tc>
        <w:tc>
          <w:tcPr>
            <w:tcW w:type="dxa" w:w="1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Front. Artif. Intell. &amp; Appl. Sci. / Telco Graphs</w:t>
            </w:r>
          </w:p>
        </w:tc>
        <w:tc>
          <w:tcPr>
            <w:tcW w:type="dxa" w:w="31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Spatio-Temporal Attention GNN &amp; Dual-Branch CNN-Transformer: Invocation graph attention + 1D-CNN local branch + 2-head Transformer with learnable embeddings.</w:t>
            </w:r>
          </w:p>
        </w:tc>
        <w:tc>
          <w:tcPr>
            <w:tcW w:type="dxa" w:w="28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Captures indirect multi-hop fault propagation and non-uniform temporal 5G fault dynamics with dynamic KPI gating (capped at 60%).</w:t>
            </w:r>
          </w:p>
        </w:tc>
      </w:tr>
    </w:tbl>
    <w:p>
      <w:pPr>
        <w:spacing w:after="260"/>
      </w:pPr>
    </w:p>
    <w:p>
      <w:pPr>
        <w:pStyle w:val="Heading1"/>
        <w:spacing w:after="140" w:before="360"/>
      </w:pPr>
      <w:r>
        <w:rPr>
          <w:rFonts w:ascii="Calibri" w:cs="Calibri" w:eastAsia="Calibri" w:hAnsi="Calibri"/>
          <w:b/>
          <w:bCs/>
          <w:color w:val="1B365D"/>
          <w:sz w:val="28"/>
          <w:szCs w:val="28"/>
        </w:rPr>
        <w:t xml:space="preserve">2. Stage 1: Telemetry Hygiene &amp; Metric Standardization (SOMP)</w:t>
      </w:r>
    </w:p>
    <w:p>
      <w:pPr>
        <w:spacing w:after="110" w:before="0" w:line="260"/>
      </w:pPr>
      <w:r>
        <w:rPr>
          <w:rFonts w:ascii="Calibri" w:cs="Calibri" w:eastAsia="Calibri" w:hAnsi="Calibri"/>
          <w:b w:val="false"/>
          <w:bCs w:val="false"/>
          <w:color w:val="222222"/>
          <w:sz w:val="21"/>
          <w:szCs w:val="21"/>
        </w:rPr>
        <w:t xml:space="preserve">Before feeding millions of telemetry data points into deep learning models or AI agents, the data must be cleaned and standardized. If raw data is ingested without preprocessing, monitoring systems suffer from extreme alert fatigue, high computing costs, and false alarms.</w:t>
      </w:r>
    </w:p>
    <w:p>
      <w:pPr>
        <w:pStyle w:val="Heading2"/>
        <w:spacing w:after="100" w:before="240"/>
      </w:pPr>
      <w:r>
        <w:rPr>
          <w:rFonts w:ascii="Calibri" w:cs="Calibri" w:eastAsia="Calibri" w:hAnsi="Calibri"/>
          <w:b/>
          <w:bCs/>
          <w:color w:val="008080"/>
          <w:sz w:val="24"/>
          <w:szCs w:val="24"/>
        </w:rPr>
        <w:t xml:space="preserve">The Three-Layer Daily KPI Filter (IEEE ISCC 2025)</w:t>
      </w:r>
    </w:p>
    <w:p>
      <w:pPr>
        <w:spacing w:after="110" w:before="0" w:line="260"/>
      </w:pPr>
      <w:r>
        <w:rPr>
          <w:rFonts w:ascii="Calibri" w:cs="Calibri" w:eastAsia="Calibri" w:hAnsi="Calibri"/>
          <w:b w:val="false"/>
          <w:bCs w:val="false"/>
          <w:color w:val="222222"/>
          <w:sz w:val="21"/>
          <w:szCs w:val="21"/>
        </w:rPr>
        <w:t xml:space="preserve">In commercial 5G Core deployments, network functions export tens of thousands of Performance Management (PM) counters and Key Performance Indicators (KPIs). To make real-time analysis feasible, we deploy an automated three-layer filtering pipeline at the ingestion boundary:</w:t>
      </w:r>
    </w:p>
    <w:p>
      <w:pPr>
        <w:pStyle w:val="ListParagraph"/>
        <w:numPr>
          <w:ilvl w:val="0"/>
          <w:numId w:val="1"/>
        </w:numPr>
        <w:spacing w:after="80" w:before="40" w:line="250"/>
      </w:pPr>
      <w:r>
        <w:rPr>
          <w:rFonts w:ascii="Calibri" w:cs="Calibri" w:eastAsia="Calibri" w:hAnsi="Calibri"/>
          <w:b/>
          <w:bCs/>
          <w:color w:val="1B365D"/>
          <w:sz w:val="20"/>
          <w:szCs w:val="20"/>
        </w:rPr>
        <w:t xml:space="preserve">Layer 1 - Shannon Entropy Filter (tau1 = 0.05): </w:t>
      </w:r>
      <w:r>
        <w:rPr>
          <w:rFonts w:ascii="Calibri" w:cs="Calibri" w:eastAsia="Calibri" w:hAnsi="Calibri"/>
          <w:color w:val="222222"/>
          <w:sz w:val="20"/>
          <w:szCs w:val="20"/>
        </w:rPr>
        <w:t xml:space="preserve">Measures the information content of every time series. Metrics that remain completely constant or flat-lined over 24 hours provide zero diagnostic information and are safely discarded. This single step eliminates 87.93% of raw series.</w:t>
      </w:r>
    </w:p>
    <w:p>
      <w:pPr>
        <w:pStyle w:val="ListParagraph"/>
        <w:numPr>
          <w:ilvl w:val="0"/>
          <w:numId w:val="1"/>
        </w:numPr>
        <w:spacing w:after="80" w:before="40" w:line="250"/>
      </w:pPr>
      <w:r>
        <w:rPr>
          <w:rFonts w:ascii="Calibri" w:cs="Calibri" w:eastAsia="Calibri" w:hAnsi="Calibri"/>
          <w:b/>
          <w:bCs/>
          <w:color w:val="1B365D"/>
          <w:sz w:val="20"/>
          <w:szCs w:val="20"/>
        </w:rPr>
        <w:t xml:space="preserve">Layer 2 - Stochastic Noise Elimination: </w:t>
      </w:r>
      <w:r>
        <w:rPr>
          <w:rFonts w:ascii="Calibri" w:cs="Calibri" w:eastAsia="Calibri" w:hAnsi="Calibri"/>
          <w:color w:val="222222"/>
          <w:sz w:val="20"/>
          <w:szCs w:val="20"/>
        </w:rPr>
        <w:t xml:space="preserve">Uses time-series decomposition to identify high-frequency erratic signals dominated by random statistical noise. This removes an additional 0.16% of volatile signals.</w:t>
      </w:r>
    </w:p>
    <w:p>
      <w:pPr>
        <w:pStyle w:val="ListParagraph"/>
        <w:numPr>
          <w:ilvl w:val="0"/>
          <w:numId w:val="1"/>
        </w:numPr>
        <w:spacing w:after="80" w:before="40" w:line="250"/>
      </w:pPr>
      <w:r>
        <w:rPr>
          <w:rFonts w:ascii="Calibri" w:cs="Calibri" w:eastAsia="Calibri" w:hAnsi="Calibri"/>
          <w:b/>
          <w:bCs/>
          <w:color w:val="1B365D"/>
          <w:sz w:val="20"/>
          <w:szCs w:val="20"/>
        </w:rPr>
        <w:t xml:space="preserve">Layer 3 - Pearson Cross-Correlation Consolidation (tau3 = 0.95): </w:t>
      </w:r>
      <w:r>
        <w:rPr>
          <w:rFonts w:ascii="Calibri" w:cs="Calibri" w:eastAsia="Calibri" w:hAnsi="Calibri"/>
          <w:color w:val="222222"/>
          <w:sz w:val="20"/>
          <w:szCs w:val="20"/>
        </w:rPr>
        <w:t xml:space="preserve">Identifies pairs of metrics that move in lockstep (correlation coefficient &gt; 0.95), such as duplicate CPU counters across worker threads. Consolidating these duplicates removes between 28% and 71% of the remaining metrics per network element.</w:t>
      </w:r>
    </w:p>
    <w:p>
      <w:pPr>
        <w:spacing w:after="110" w:before="0" w:line="260"/>
      </w:pPr>
      <w:r>
        <w:rPr>
          <w:rFonts w:ascii="Calibri" w:cs="Calibri" w:eastAsia="Calibri" w:hAnsi="Calibri"/>
          <w:b w:val="false"/>
          <w:bCs w:val="false"/>
          <w:color w:val="222222"/>
          <w:sz w:val="21"/>
          <w:szCs w:val="21"/>
        </w:rPr>
        <w:t xml:space="preserve">In total, this three-layer filter achieves an 88.97% to 91.40% reduction in telemetry volume daily, allowing the AI engine to focus exclusively on informative, high-signal data.</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20"/>
        <w:gridCol w:w="2500"/>
        <w:gridCol w:w="3740"/>
      </w:tblGrid>
      <w:tr>
        <w:tc>
          <w:tcPr>
            <w:tcW w:type="dxa" w:w="312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Telemetry Filtering Stage</w:t>
            </w:r>
          </w:p>
        </w:tc>
        <w:tc>
          <w:tcPr>
            <w:tcW w:type="dxa" w:w="250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Quantitative Elimination Ratio</w:t>
            </w:r>
          </w:p>
        </w:tc>
        <w:tc>
          <w:tcPr>
            <w:tcW w:type="dxa" w:w="374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Threshold &amp; Mathematical Context</w:t>
            </w:r>
          </w:p>
        </w:tc>
      </w:tr>
      <w:tr>
        <w:tc>
          <w:tcPr>
            <w:tcW w:type="dxa" w:w="312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Layer 1: Static Series Elimination</w:t>
            </w:r>
          </w:p>
        </w:tc>
        <w:tc>
          <w:tcPr>
            <w:tcW w:type="dxa" w:w="2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87.93% of raw KPIs removed</w:t>
            </w:r>
          </w:p>
        </w:tc>
        <w:tc>
          <w:tcPr>
            <w:tcW w:type="dxa" w:w="37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Shannon entropy screening at optimal threshold tau1 = 0.05</w:t>
            </w:r>
          </w:p>
        </w:tc>
      </w:tr>
      <w:tr>
        <w:tc>
          <w:tcPr>
            <w:tcW w:type="dxa" w:w="312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Layer 2: Volatile Noise Elimination</w:t>
            </w:r>
          </w:p>
        </w:tc>
        <w:tc>
          <w:tcPr>
            <w:tcW w:type="dxa" w:w="25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0.16% of raw KPIs removed</w:t>
            </w:r>
          </w:p>
        </w:tc>
        <w:tc>
          <w:tcPr>
            <w:tcW w:type="dxa" w:w="37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Stochastic pattern analysis via time-series decomposition</w:t>
            </w:r>
          </w:p>
        </w:tc>
      </w:tr>
      <w:tr>
        <w:tc>
          <w:tcPr>
            <w:tcW w:type="dxa" w:w="312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Layer 3: Duplicate Consolidation</w:t>
            </w:r>
          </w:p>
        </w:tc>
        <w:tc>
          <w:tcPr>
            <w:tcW w:type="dxa" w:w="25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28% to 71% per network element</w:t>
            </w:r>
          </w:p>
        </w:tc>
        <w:tc>
          <w:tcPr>
            <w:tcW w:type="dxa" w:w="37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Pearson correlation consolidation at tau3 = 0.95</w:t>
            </w:r>
          </w:p>
        </w:tc>
      </w:tr>
      <w:tr>
        <w:tc>
          <w:tcPr>
            <w:tcW w:type="dxa" w:w="312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Total Daily Dimensionality Reduction</w:t>
            </w:r>
          </w:p>
        </w:tc>
        <w:tc>
          <w:tcPr>
            <w:tcW w:type="dxa" w:w="25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88.97% (Global) / 91.40% (Class-Grouped)</w:t>
            </w:r>
          </w:p>
        </w:tc>
        <w:tc>
          <w:tcPr>
            <w:tcW w:type="dxa" w:w="37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Retains only 8.60% to 11.03% high-value predictive signals daily</w:t>
            </w:r>
          </w:p>
        </w:tc>
      </w:tr>
    </w:tbl>
    <w:p>
      <w:pPr>
        <w:spacing w:after="200"/>
      </w:pPr>
    </w:p>
    <w:p>
      <w:pPr>
        <w:pStyle w:val="Heading2"/>
        <w:spacing w:after="100" w:before="240"/>
      </w:pPr>
      <w:r>
        <w:rPr>
          <w:rFonts w:ascii="Calibri" w:cs="Calibri" w:eastAsia="Calibri" w:hAnsi="Calibri"/>
          <w:b/>
          <w:bCs/>
          <w:color w:val="008080"/>
          <w:sz w:val="24"/>
          <w:szCs w:val="24"/>
        </w:rPr>
        <w:t xml:space="preserve">Service-Oriented Metric Preprocessing (SOMP) &amp; Reset Safety</w:t>
      </w:r>
    </w:p>
    <w:p>
      <w:pPr>
        <w:spacing w:after="110" w:before="0" w:line="260"/>
      </w:pPr>
      <w:r>
        <w:rPr>
          <w:rFonts w:ascii="Calibri" w:cs="Calibri" w:eastAsia="Calibri" w:hAnsi="Calibri"/>
          <w:b w:val="false"/>
          <w:bCs w:val="false"/>
          <w:color w:val="222222"/>
          <w:sz w:val="21"/>
          <w:szCs w:val="21"/>
        </w:rPr>
        <w:t xml:space="preserve">As established in Paper 4 (TeleGAN-Core, IEEE Access 2026), raw 5G metrics fall into two distinct mathematical categories: cumulative counters (like total packets transmitted) and instantaneous gauges (like current CPU utilization).</w:t>
      </w:r>
    </w:p>
    <w:p>
      <w:pPr>
        <w:spacing w:after="110" w:before="0" w:line="260"/>
      </w:pPr>
      <w:r>
        <w:rPr>
          <w:rFonts w:ascii="Calibri" w:cs="Calibri" w:eastAsia="Calibri" w:hAnsi="Calibri"/>
          <w:b w:val="false"/>
          <w:bCs w:val="false"/>
          <w:color w:val="222222"/>
          <w:sz w:val="21"/>
          <w:szCs w:val="21"/>
        </w:rPr>
        <w:t xml:space="preserve">If raw cumulative counters are used directly, standard machine learning models fail because numbers grow infinitely until a counter reset causes an abrupt drop to zero, triggering false alarms. SOMP solves this by calculating safe interval delta increments:</w:t>
      </w:r>
    </w:p>
    <w:tbl>
      <w:tblPr>
        <w:tblW w:type="dxa" w:w="9360"/>
        <w:tblBorders>
          <w:top w:val="none"/>
          <w:left w:val="single" w:color="1D4ED8" w:sz="36"/>
          <w:bottom w:val="none"/>
          <w:right w:val="none"/>
          <w:insideH w:val="none"/>
          <w:insideV w:val="none"/>
        </w:tblBorders>
      </w:tblPr>
      <w:tblGrid>
        <w:gridCol w:w="9360"/>
      </w:tblGrid>
      <w:tr>
        <w:tc>
          <w:tcPr>
            <w:tcW w:type="dxa" w:w="9360"/>
            <w:shd w:fill="EFF6FF" w:val="clear"/>
            <w:tcMar>
              <w:top w:type="dxa" w:w="120"/>
              <w:left w:type="dxa" w:w="180"/>
              <w:bottom w:type="dxa" w:w="120"/>
              <w:right w:type="dxa" w:w="160"/>
            </w:tcMar>
          </w:tcPr>
          <w:p>
            <w:pPr>
              <w:spacing w:after="40"/>
            </w:pPr>
            <w:r>
              <w:rPr>
                <w:rFonts w:ascii="Calibri" w:cs="Calibri" w:eastAsia="Calibri" w:hAnsi="Calibri"/>
                <w:b/>
                <w:bCs/>
                <w:color w:val="1D4ED8"/>
                <w:sz w:val="21"/>
                <w:szCs w:val="21"/>
              </w:rPr>
              <w:t xml:space="preserve">SOMP COUNTER RESET DELTA FORMULA</w:t>
            </w:r>
          </w:p>
          <w:p>
            <w:pPr>
              <w:spacing w:after="0" w:line="240"/>
            </w:pPr>
            <w:r>
              <w:rPr>
                <w:rFonts w:ascii="Calibri" w:cs="Calibri" w:eastAsia="Calibri" w:hAnsi="Calibri"/>
                <w:color w:val="222222"/>
                <w:sz w:val="19"/>
                <w:szCs w:val="19"/>
              </w:rPr>
              <w:t xml:space="preserve">For cumulative counter x_t: If (x_t &gt;= x_{t-1}), delta = (x_t - x_{t-1}). If (x_t &lt; x_{t-1}) due to a counter wrap or restart, delta = x_t. Gauges are pooled over the interval using mean or robust median aggregation.</w:t>
            </w:r>
          </w:p>
        </w:tc>
      </w:tr>
    </w:tbl>
    <w:p>
      <w:pPr>
        <w:spacing w:after="240"/>
      </w:pPr>
    </w:p>
    <w:p>
      <w:pPr>
        <w:pStyle w:val="Heading1"/>
        <w:spacing w:after="140" w:before="360"/>
      </w:pPr>
      <w:r>
        <w:rPr>
          <w:rFonts w:ascii="Calibri" w:cs="Calibri" w:eastAsia="Calibri" w:hAnsi="Calibri"/>
          <w:b/>
          <w:bCs/>
          <w:color w:val="1B365D"/>
          <w:sz w:val="28"/>
          <w:szCs w:val="28"/>
        </w:rPr>
        <w:t xml:space="preserve">3. Stage 2: Contamination-Resilient Machine Learning &amp; Anomaly Detection</w:t>
      </w:r>
    </w:p>
    <w:p>
      <w:pPr>
        <w:spacing w:after="110" w:before="0" w:line="260"/>
      </w:pPr>
      <w:r>
        <w:rPr>
          <w:rFonts w:ascii="Calibri" w:cs="Calibri" w:eastAsia="Calibri" w:hAnsi="Calibri"/>
          <w:b w:val="false"/>
          <w:bCs w:val="false"/>
          <w:color w:val="222222"/>
          <w:sz w:val="21"/>
          <w:szCs w:val="21"/>
        </w:rPr>
        <w:t xml:space="preserve">Most academic anomaly detectors assume that historical training data is pristine and error-free. In real-world telecom networks, however, training data inevitably contains up to 5% unlabeled anomalous contamination from transient glitches, unrecorded traffic bursts, or software bugs. When conventional models are trained on this dirty data, they mistake errors for normal behavior and fail during real outages.</w:t>
      </w:r>
    </w:p>
    <w:p>
      <w:pPr>
        <w:pStyle w:val="Heading2"/>
        <w:spacing w:after="100" w:before="240"/>
      </w:pPr>
      <w:r>
        <w:rPr>
          <w:rFonts w:ascii="Calibri" w:cs="Calibri" w:eastAsia="Calibri" w:hAnsi="Calibri"/>
          <w:b/>
          <w:bCs/>
          <w:color w:val="008080"/>
          <w:sz w:val="24"/>
          <w:szCs w:val="24"/>
        </w:rPr>
        <w:t xml:space="preserve">MNSUAD: Teacher-Student Defense Against 5% Contamination (Paper 1)</w:t>
      </w:r>
    </w:p>
    <w:p>
      <w:pPr>
        <w:spacing w:after="110" w:before="0" w:line="260"/>
      </w:pPr>
      <w:r>
        <w:rPr>
          <w:rFonts w:ascii="Calibri" w:cs="Calibri" w:eastAsia="Calibri" w:hAnsi="Calibri"/>
          <w:b w:val="false"/>
          <w:bCs w:val="false"/>
          <w:color w:val="222222"/>
          <w:sz w:val="21"/>
          <w:szCs w:val="21"/>
        </w:rPr>
        <w:t xml:space="preserve">To overcome this bottleneck, we implement the MNSUAD framework (Johari et al., IEEE TMC 2025). The architecture uses a two-stage teacher-student pipeline:</w:t>
      </w:r>
    </w:p>
    <w:p>
      <w:pPr>
        <w:pStyle w:val="ListParagraph"/>
        <w:numPr>
          <w:ilvl w:val="0"/>
          <w:numId w:val="1"/>
        </w:numPr>
        <w:spacing w:after="80" w:before="40" w:line="250"/>
      </w:pPr>
      <w:r>
        <w:rPr>
          <w:rFonts w:ascii="Calibri" w:cs="Calibri" w:eastAsia="Calibri" w:hAnsi="Calibri"/>
          <w:b/>
          <w:bCs/>
          <w:color w:val="1B365D"/>
          <w:sz w:val="20"/>
          <w:szCs w:val="20"/>
        </w:rPr>
        <w:t xml:space="preserve">Teacher Stage (DAGMM): </w:t>
      </w:r>
      <w:r>
        <w:rPr>
          <w:rFonts w:ascii="Calibri" w:cs="Calibri" w:eastAsia="Calibri" w:hAnsi="Calibri"/>
          <w:color w:val="222222"/>
          <w:sz w:val="20"/>
          <w:szCs w:val="20"/>
        </w:rPr>
        <w:t xml:space="preserve">A Deep Autoencoding Gaussian Mixture Model acts as an energy-density teacher. By evaluating telemetry against a 3-step energy threshold cascade (eta1, eta2, eta3), it separates historical data into clean normal data, ambiguous contamination, and high-confidence pseudo-labeled anomalies.</w:t>
      </w:r>
    </w:p>
    <w:p>
      <w:pPr>
        <w:pStyle w:val="ListParagraph"/>
        <w:numPr>
          <w:ilvl w:val="0"/>
          <w:numId w:val="1"/>
        </w:numPr>
        <w:spacing w:after="80" w:before="40" w:line="250"/>
      </w:pPr>
      <w:r>
        <w:rPr>
          <w:rFonts w:ascii="Calibri" w:cs="Calibri" w:eastAsia="Calibri" w:hAnsi="Calibri"/>
          <w:b/>
          <w:bCs/>
          <w:color w:val="1B365D"/>
          <w:sz w:val="20"/>
          <w:szCs w:val="20"/>
        </w:rPr>
        <w:t xml:space="preserve">Student Stage (Transformer-MAE &amp; DevNet): </w:t>
      </w:r>
      <w:r>
        <w:rPr>
          <w:rFonts w:ascii="Calibri" w:cs="Calibri" w:eastAsia="Calibri" w:hAnsi="Calibri"/>
          <w:color w:val="222222"/>
          <w:sz w:val="20"/>
          <w:szCs w:val="20"/>
        </w:rPr>
        <w:t xml:space="preserve">Noise is injected into pseudo-labeled anomalies, and a weakly-supervised student model is trained. A Transformer Masked Autoencoder (MAE) learns cross-VNF relationships, while a Deviation Network (DevNet) assigns continuous anomaly scores.</w:t>
      </w:r>
    </w:p>
    <w:p>
      <w:pPr>
        <w:pStyle w:val="ListParagraph"/>
        <w:numPr>
          <w:ilvl w:val="0"/>
          <w:numId w:val="1"/>
        </w:numPr>
        <w:spacing w:after="80" w:before="40" w:line="250"/>
      </w:pPr>
      <w:r>
        <w:rPr>
          <w:rFonts w:ascii="Calibri" w:cs="Calibri" w:eastAsia="Calibri" w:hAnsi="Calibri"/>
          <w:b/>
          <w:bCs/>
          <w:color w:val="1B365D"/>
          <w:sz w:val="20"/>
          <w:szCs w:val="20"/>
        </w:rPr>
        <w:t xml:space="preserve">XAI Root Cause Localization: </w:t>
      </w:r>
      <w:r>
        <w:rPr>
          <w:rFonts w:ascii="Calibri" w:cs="Calibri" w:eastAsia="Calibri" w:hAnsi="Calibri"/>
          <w:color w:val="222222"/>
          <w:sz w:val="20"/>
          <w:szCs w:val="20"/>
        </w:rPr>
        <w:t xml:space="preserve">When an anomaly occurs, MNSUAD uses Mask Permutation, Cluster Permutation, and SHAP to systematically perturb feature groups and pinpoint the culprit virtual function without human heuristics. On Vodafone 11-country production data, MNSUAD achieves a +20% gain in anomaly detection and +22% gain in fault localization under 5% contamination.</w:t>
      </w:r>
    </w:p>
    <w:p>
      <w:pPr>
        <w:pStyle w:val="Heading2"/>
        <w:spacing w:after="100" w:before="240"/>
      </w:pPr>
      <w:r>
        <w:rPr>
          <w:rFonts w:ascii="Calibri" w:cs="Calibri" w:eastAsia="Calibri" w:hAnsi="Calibri"/>
          <w:b/>
          <w:bCs/>
          <w:color w:val="008080"/>
          <w:sz w:val="24"/>
          <w:szCs w:val="24"/>
        </w:rPr>
        <w:t xml:space="preserve">TeleGAN-Core: Dual-Autoencoder GAN with Critic Gap Penalty (Paper 4)</w:t>
      </w:r>
    </w:p>
    <w:p>
      <w:pPr>
        <w:spacing w:after="110" w:before="0" w:line="260"/>
      </w:pPr>
      <w:r>
        <w:rPr>
          <w:rFonts w:ascii="Calibri" w:cs="Calibri" w:eastAsia="Calibri" w:hAnsi="Calibri"/>
          <w:b w:val="false"/>
          <w:bCs w:val="false"/>
          <w:color w:val="222222"/>
          <w:sz w:val="21"/>
          <w:szCs w:val="21"/>
        </w:rPr>
        <w:t xml:space="preserve">For cloud-native 5G Core Service-Based Architectures, TeleGAN-Core (Issa et al., IEEE Access 2026) deploys two Bidirectional LSTM Autoencoders: a Generator (G) that reconstructs normal patterns, and an Autoencoder-based Critic (C) that enforces a strict reconstruction gap penalty. This prevents over-reconstruction of complex anomalies and attributes deviations directly to specific 5G Network Functions (AMF, SMF, UPF).</w:t>
      </w:r>
    </w:p>
    <w:p>
      <w:pPr>
        <w:pStyle w:val="Heading2"/>
        <w:spacing w:after="100" w:before="240"/>
      </w:pPr>
      <w:r>
        <w:rPr>
          <w:rFonts w:ascii="Calibri" w:cs="Calibri" w:eastAsia="Calibri" w:hAnsi="Calibri"/>
          <w:b/>
          <w:bCs/>
          <w:color w:val="008080"/>
          <w:sz w:val="24"/>
          <w:szCs w:val="24"/>
        </w:rPr>
        <w:t xml:space="preserve">Golden Flow: Deterministic PCAP Call-Flow Verification (Paper 11)</w:t>
      </w:r>
    </w:p>
    <w:p>
      <w:pPr>
        <w:spacing w:after="110" w:before="0" w:line="260"/>
      </w:pPr>
      <w:r>
        <w:rPr>
          <w:rFonts w:ascii="Calibri" w:cs="Calibri" w:eastAsia="Calibri" w:hAnsi="Calibri"/>
          <w:b w:val="false"/>
          <w:bCs w:val="false"/>
          <w:color w:val="222222"/>
          <w:sz w:val="21"/>
          <w:szCs w:val="21"/>
        </w:rPr>
        <w:t xml:space="preserve">Not all telecom failures show up in CPU or memory counters. Control-plane signaling failures hide inside packet capture (PCAP) call flows. Using the Golden Flow framework (Isaac et al., 2024/2025):</w:t>
      </w:r>
    </w:p>
    <w:p>
      <w:pPr>
        <w:pStyle w:val="ListParagraph"/>
        <w:numPr>
          <w:ilvl w:val="0"/>
          <w:numId w:val="1"/>
        </w:numPr>
        <w:spacing w:after="80" w:before="40" w:line="250"/>
      </w:pPr>
      <w:r>
        <w:rPr>
          <w:rFonts w:ascii="Calibri" w:cs="Calibri" w:eastAsia="Calibri" w:hAnsi="Calibri"/>
          <w:b/>
          <w:bCs/>
          <w:color w:val="1B365D"/>
          <w:sz w:val="20"/>
          <w:szCs w:val="20"/>
        </w:rPr>
        <w:t xml:space="preserve">Wireshark JSON Extractor: </w:t>
      </w:r>
      <w:r>
        <w:rPr>
          <w:rFonts w:ascii="Calibri" w:cs="Calibri" w:eastAsia="Calibri" w:hAnsi="Calibri"/>
          <w:color w:val="222222"/>
          <w:sz w:val="20"/>
          <w:szCs w:val="20"/>
        </w:rPr>
        <w:t xml:space="preserve">Extracts structured JSON frame sequences from 5G Core Service-Based Interfaces (SBI).</w:t>
      </w:r>
    </w:p>
    <w:p>
      <w:pPr>
        <w:pStyle w:val="ListParagraph"/>
        <w:numPr>
          <w:ilvl w:val="0"/>
          <w:numId w:val="1"/>
        </w:numPr>
        <w:spacing w:after="80" w:before="40" w:line="250"/>
      </w:pPr>
      <w:r>
        <w:rPr>
          <w:rFonts w:ascii="Calibri" w:cs="Calibri" w:eastAsia="Calibri" w:hAnsi="Calibri"/>
          <w:b/>
          <w:bCs/>
          <w:color w:val="1B365D"/>
          <w:sz w:val="20"/>
          <w:szCs w:val="20"/>
        </w:rPr>
        <w:t xml:space="preserve">Deterministic State Machine: </w:t>
      </w:r>
      <w:r>
        <w:rPr>
          <w:rFonts w:ascii="Calibri" w:cs="Calibri" w:eastAsia="Calibri" w:hAnsi="Calibri"/>
          <w:color w:val="222222"/>
          <w:sz w:val="20"/>
          <w:szCs w:val="20"/>
        </w:rPr>
        <w:t xml:space="preserve">Compares live 3GPP signaling sequences against canonical reference flows for Mobile Registration, PDU Session Establishment, and Deregistration.</w:t>
      </w:r>
    </w:p>
    <w:p>
      <w:pPr>
        <w:pStyle w:val="ListParagraph"/>
        <w:numPr>
          <w:ilvl w:val="0"/>
          <w:numId w:val="1"/>
        </w:numPr>
        <w:spacing w:after="80" w:before="40" w:line="250"/>
      </w:pPr>
      <w:r>
        <w:rPr>
          <w:rFonts w:ascii="Calibri" w:cs="Calibri" w:eastAsia="Calibri" w:hAnsi="Calibri"/>
          <w:b/>
          <w:bCs/>
          <w:color w:val="1B365D"/>
          <w:sz w:val="20"/>
          <w:szCs w:val="20"/>
        </w:rPr>
        <w:t xml:space="preserve">Protocol-Grouped SVM: </w:t>
      </w:r>
      <w:r>
        <w:rPr>
          <w:rFonts w:ascii="Calibri" w:cs="Calibri" w:eastAsia="Calibri" w:hAnsi="Calibri"/>
          <w:color w:val="222222"/>
          <w:sz w:val="20"/>
          <w:szCs w:val="20"/>
        </w:rPr>
        <w:t xml:space="preserve">Groups frames by protocol type to avoid cross-protocol feature dilution, achieving 100% detection accuracy on simulated testbeds and isolating the exact offending frame (e.g., Frame 23 Registration Reject due to 5GS Congestion).</w:t>
      </w:r>
    </w:p>
    <w:p>
      <w:pPr>
        <w:spacing w:after="240"/>
      </w:pPr>
    </w:p>
    <w:p>
      <w:pPr>
        <w:pStyle w:val="Heading1"/>
        <w:spacing w:after="140" w:before="360"/>
      </w:pPr>
      <w:r>
        <w:rPr>
          <w:rFonts w:ascii="Calibri" w:cs="Calibri" w:eastAsia="Calibri" w:hAnsi="Calibri"/>
          <w:b/>
          <w:bCs/>
          <w:color w:val="1B365D"/>
          <w:sz w:val="28"/>
          <w:szCs w:val="28"/>
        </w:rPr>
        <w:t xml:space="preserve">4. Stage 3: Topological Graph Learning, Digital Twins, and Active Probing</w:t>
      </w:r>
    </w:p>
    <w:p>
      <w:pPr>
        <w:spacing w:after="110" w:before="0" w:line="260"/>
      </w:pPr>
      <w:r>
        <w:rPr>
          <w:rFonts w:ascii="Calibri" w:cs="Calibri" w:eastAsia="Calibri" w:hAnsi="Calibri"/>
          <w:b w:val="false"/>
          <w:bCs w:val="false"/>
          <w:color w:val="222222"/>
          <w:sz w:val="21"/>
          <w:szCs w:val="21"/>
        </w:rPr>
        <w:t xml:space="preserve">Telecom services do not run in isolation; they run as chained sequences called Service Function Chains (SFCs). When a physical server degrades, symptoms propagate downstream along the service dependency graph.</w:t>
      </w:r>
    </w:p>
    <w:p>
      <w:pPr>
        <w:pStyle w:val="Heading2"/>
        <w:spacing w:after="100" w:before="240"/>
      </w:pPr>
      <w:r>
        <w:rPr>
          <w:rFonts w:ascii="Calibri" w:cs="Calibri" w:eastAsia="Calibri" w:hAnsi="Calibri"/>
          <w:b/>
          <w:bCs/>
          <w:color w:val="008080"/>
          <w:sz w:val="24"/>
          <w:szCs w:val="24"/>
        </w:rPr>
        <w:t xml:space="preserve">DTFL: 3-Layer Digital Twin for SFC Fault Localization (Paper 2)</w:t>
      </w:r>
    </w:p>
    <w:p>
      <w:pPr>
        <w:spacing w:after="110" w:before="0" w:line="260"/>
      </w:pPr>
      <w:r>
        <w:rPr>
          <w:rFonts w:ascii="Calibri" w:cs="Calibri" w:eastAsia="Calibri" w:hAnsi="Calibri"/>
          <w:b w:val="false"/>
          <w:bCs w:val="false"/>
          <w:color w:val="222222"/>
          <w:sz w:val="21"/>
          <w:szCs w:val="21"/>
        </w:rPr>
        <w:t xml:space="preserve">In Paper 2 (Guo et al., IEEE TCC 2023), researchers identified that applying standard Graph Neural Networks directly to physical networks fails because dynamic scaling changes the graph structure and failures are too rare to train balanced models. DTFL resolves this through a three-layer Digital Twin:</w:t>
      </w:r>
    </w:p>
    <w:p>
      <w:pPr>
        <w:pStyle w:val="ListParagraph"/>
        <w:numPr>
          <w:ilvl w:val="0"/>
          <w:numId w:val="1"/>
        </w:numPr>
        <w:spacing w:after="80" w:before="40" w:line="250"/>
      </w:pPr>
      <w:r>
        <w:rPr>
          <w:rFonts w:ascii="Calibri" w:cs="Calibri" w:eastAsia="Calibri" w:hAnsi="Calibri"/>
          <w:b/>
          <w:bCs/>
          <w:color w:val="1B365D"/>
          <w:sz w:val="20"/>
          <w:szCs w:val="20"/>
        </w:rPr>
        <w:t xml:space="preserve">Physical Space: </w:t>
      </w:r>
      <w:r>
        <w:rPr>
          <w:rFonts w:ascii="Calibri" w:cs="Calibri" w:eastAsia="Calibri" w:hAnsi="Calibri"/>
          <w:color w:val="222222"/>
          <w:sz w:val="20"/>
          <w:szCs w:val="20"/>
        </w:rPr>
        <w:t xml:space="preserve">Real-world telecom servers, optical links, and Kubernetes pods.</w:t>
      </w:r>
    </w:p>
    <w:p>
      <w:pPr>
        <w:pStyle w:val="ListParagraph"/>
        <w:numPr>
          <w:ilvl w:val="0"/>
          <w:numId w:val="1"/>
        </w:numPr>
        <w:spacing w:after="80" w:before="40" w:line="250"/>
      </w:pPr>
      <w:r>
        <w:rPr>
          <w:rFonts w:ascii="Calibri" w:cs="Calibri" w:eastAsia="Calibri" w:hAnsi="Calibri"/>
          <w:b/>
          <w:bCs/>
          <w:color w:val="1B365D"/>
          <w:sz w:val="20"/>
          <w:szCs w:val="20"/>
        </w:rPr>
        <w:t xml:space="preserve">SFC-Twin Space: </w:t>
      </w:r>
      <w:r>
        <w:rPr>
          <w:rFonts w:ascii="Calibri" w:cs="Calibri" w:eastAsia="Calibri" w:hAnsi="Calibri"/>
          <w:color w:val="222222"/>
          <w:sz w:val="20"/>
          <w:szCs w:val="20"/>
        </w:rPr>
        <w:t xml:space="preserve">A synchronized virtual graph maintaining real-time adjacency matrices of nodes, links, and virtual functions. It executes controlled synthetic fault injection to generate balanced multi-fault training datasets without risking production traffic.</w:t>
      </w:r>
    </w:p>
    <w:p>
      <w:pPr>
        <w:pStyle w:val="ListParagraph"/>
        <w:numPr>
          <w:ilvl w:val="0"/>
          <w:numId w:val="1"/>
        </w:numPr>
        <w:spacing w:after="80" w:before="40" w:line="250"/>
      </w:pPr>
      <w:r>
        <w:rPr>
          <w:rFonts w:ascii="Calibri" w:cs="Calibri" w:eastAsia="Calibri" w:hAnsi="Calibri"/>
          <w:b/>
          <w:bCs/>
          <w:color w:val="1B365D"/>
          <w:sz w:val="20"/>
          <w:szCs w:val="20"/>
        </w:rPr>
        <w:t xml:space="preserve">transGNN &amp; BDF-FL: </w:t>
      </w:r>
      <w:r>
        <w:rPr>
          <w:rFonts w:ascii="Calibri" w:cs="Calibri" w:eastAsia="Calibri" w:hAnsi="Calibri"/>
          <w:color w:val="222222"/>
          <w:sz w:val="20"/>
          <w:szCs w:val="20"/>
        </w:rPr>
        <w:t xml:space="preserve">Extracts semantic representations from system logs via BERT and feeds them into a Graph Convolutional Network (GCN). A Breadth and Depth-First Failure Localization (BDF-FL) algorithm traverses the graph using resource priority tables, improving RCA accuracy by ~13% over non-twin baselines.</w:t>
      </w:r>
    </w:p>
    <w:p>
      <w:pPr>
        <w:pStyle w:val="Heading2"/>
        <w:spacing w:after="100" w:before="240"/>
      </w:pPr>
      <w:r>
        <w:rPr>
          <w:rFonts w:ascii="Calibri" w:cs="Calibri" w:eastAsia="Calibri" w:hAnsi="Calibri"/>
          <w:b/>
          <w:bCs/>
          <w:color w:val="008080"/>
          <w:sz w:val="24"/>
          <w:szCs w:val="24"/>
        </w:rPr>
        <w:t xml:space="preserve">Dual-Branch CNN-Transformer with Dynamic KPI Gating (Paper 15)</w:t>
      </w:r>
    </w:p>
    <w:p>
      <w:pPr>
        <w:spacing w:after="110" w:before="0" w:line="260"/>
      </w:pPr>
      <w:r>
        <w:rPr>
          <w:rFonts w:ascii="Calibri" w:cs="Calibri" w:eastAsia="Calibri" w:hAnsi="Calibri"/>
          <w:b w:val="false"/>
          <w:bCs w:val="false"/>
          <w:color w:val="222222"/>
          <w:sz w:val="21"/>
          <w:szCs w:val="21"/>
        </w:rPr>
        <w:t xml:space="preserve">To capture both short-term localized spikes and long-term multi-hop propagation, we implement a Dual-Branch CNN-Transformer (MDPI Applied Sciences 2026):</w:t>
      </w:r>
    </w:p>
    <w:p>
      <w:pPr>
        <w:pStyle w:val="ListParagraph"/>
        <w:numPr>
          <w:ilvl w:val="0"/>
          <w:numId w:val="1"/>
        </w:numPr>
        <w:spacing w:after="80" w:before="40" w:line="250"/>
      </w:pPr>
      <w:r>
        <w:rPr>
          <w:rFonts w:ascii="Calibri" w:cs="Calibri" w:eastAsia="Calibri" w:hAnsi="Calibri"/>
          <w:b/>
          <w:bCs/>
          <w:color w:val="1B365D"/>
          <w:sz w:val="20"/>
          <w:szCs w:val="20"/>
        </w:rPr>
        <w:t xml:space="preserve">Local Branch (1D-CNN): </w:t>
      </w:r>
      <w:r>
        <w:rPr>
          <w:rFonts w:ascii="Calibri" w:cs="Calibri" w:eastAsia="Calibri" w:hAnsi="Calibri"/>
          <w:color w:val="222222"/>
          <w:sz w:val="20"/>
          <w:szCs w:val="20"/>
        </w:rPr>
        <w:t xml:space="preserve">Two stacked 1D Convolutional layers with ReLU activations capture fast transient spikes in CPU and packet drop rates.</w:t>
      </w:r>
    </w:p>
    <w:p>
      <w:pPr>
        <w:pStyle w:val="ListParagraph"/>
        <w:numPr>
          <w:ilvl w:val="0"/>
          <w:numId w:val="1"/>
        </w:numPr>
        <w:spacing w:after="80" w:before="40" w:line="250"/>
      </w:pPr>
      <w:r>
        <w:rPr>
          <w:rFonts w:ascii="Calibri" w:cs="Calibri" w:eastAsia="Calibri" w:hAnsi="Calibri"/>
          <w:b/>
          <w:bCs/>
          <w:color w:val="1B365D"/>
          <w:sz w:val="20"/>
          <w:szCs w:val="20"/>
        </w:rPr>
        <w:t xml:space="preserve">Global Branch (Transformer): </w:t>
      </w:r>
      <w:r>
        <w:rPr>
          <w:rFonts w:ascii="Calibri" w:cs="Calibri" w:eastAsia="Calibri" w:hAnsi="Calibri"/>
          <w:color w:val="222222"/>
          <w:sz w:val="20"/>
          <w:szCs w:val="20"/>
        </w:rPr>
        <w:t xml:space="preserve">A 2-layer, 2-head Transformer encoder with learnable backpropagation-trained positional embeddings captures gradual degradation over multi-hour operational windows.</w:t>
      </w:r>
    </w:p>
    <w:p>
      <w:pPr>
        <w:pStyle w:val="ListParagraph"/>
        <w:numPr>
          <w:ilvl w:val="0"/>
          <w:numId w:val="1"/>
        </w:numPr>
        <w:spacing w:after="80" w:before="40" w:line="250"/>
      </w:pPr>
      <w:r>
        <w:rPr>
          <w:rFonts w:ascii="Calibri" w:cs="Calibri" w:eastAsia="Calibri" w:hAnsi="Calibri"/>
          <w:b/>
          <w:bCs/>
          <w:color w:val="1B365D"/>
          <w:sz w:val="20"/>
          <w:szCs w:val="20"/>
        </w:rPr>
        <w:t xml:space="preserve">Dynamic KPI Gating: </w:t>
      </w:r>
      <w:r>
        <w:rPr>
          <w:rFonts w:ascii="Calibri" w:cs="Calibri" w:eastAsia="Calibri" w:hAnsi="Calibri"/>
          <w:color w:val="222222"/>
          <w:sz w:val="20"/>
          <w:szCs w:val="20"/>
        </w:rPr>
        <w:t xml:space="preserve">A loss-feedback gating module dynamically balances the branches, capping any single branch weight at 60% to prevent either local spikes or long-term trends from dominating.</w:t>
      </w:r>
    </w:p>
    <w:p>
      <w:pPr>
        <w:pStyle w:val="Heading2"/>
        <w:spacing w:after="100" w:before="240"/>
      </w:pPr>
      <w:r>
        <w:rPr>
          <w:rFonts w:ascii="Calibri" w:cs="Calibri" w:eastAsia="Calibri" w:hAnsi="Calibri"/>
          <w:b/>
          <w:bCs/>
          <w:color w:val="008080"/>
          <w:sz w:val="24"/>
          <w:szCs w:val="24"/>
        </w:rPr>
        <w:t xml:space="preserve">ConfExp: Active Diagnostic Probing for Misconfigurations (Paper 12)</w:t>
      </w:r>
    </w:p>
    <w:p>
      <w:pPr>
        <w:spacing w:after="110" w:before="0" w:line="260"/>
      </w:pPr>
      <w:r>
        <w:rPr>
          <w:rFonts w:ascii="Calibri" w:cs="Calibri" w:eastAsia="Calibri" w:hAnsi="Calibri"/>
          <w:b w:val="false"/>
          <w:bCs w:val="false"/>
          <w:color w:val="222222"/>
          <w:sz w:val="21"/>
          <w:szCs w:val="21"/>
        </w:rPr>
        <w:t xml:space="preserve">Passive monitoring can result in ambiguity when multiple different misconfigurations produce identical downstream symptoms. ConfExp (Koushki et al., JNSM 2025) provides active intervention:</w:t>
      </w:r>
    </w:p>
    <w:p>
      <w:pPr>
        <w:pStyle w:val="ListParagraph"/>
        <w:numPr>
          <w:ilvl w:val="0"/>
          <w:numId w:val="1"/>
        </w:numPr>
        <w:spacing w:after="80" w:before="40" w:line="250"/>
      </w:pPr>
      <w:r>
        <w:rPr>
          <w:rFonts w:ascii="Calibri" w:cs="Calibri" w:eastAsia="Calibri" w:hAnsi="Calibri"/>
          <w:b/>
          <w:bCs/>
          <w:color w:val="1B365D"/>
          <w:sz w:val="20"/>
          <w:szCs w:val="20"/>
        </w:rPr>
        <w:t xml:space="preserve">2D Relevance Matrix: </w:t>
      </w:r>
      <w:r>
        <w:rPr>
          <w:rFonts w:ascii="Calibri" w:cs="Calibri" w:eastAsia="Calibri" w:hAnsi="Calibri"/>
          <w:color w:val="222222"/>
          <w:sz w:val="20"/>
          <w:szCs w:val="20"/>
        </w:rPr>
        <w:t xml:space="preserve">Maps Configuration Variables (CVs)—such as DNS resolvers, BGP neighbors, firewall rules, and port bindings—to active diagnostic tests (ordered from DNS queries to ping, traceroute, and HTTP/2 probes).</w:t>
      </w:r>
    </w:p>
    <w:p>
      <w:pPr>
        <w:pStyle w:val="ListParagraph"/>
        <w:numPr>
          <w:ilvl w:val="0"/>
          <w:numId w:val="1"/>
        </w:numPr>
        <w:spacing w:after="80" w:before="40" w:line="250"/>
      </w:pPr>
      <w:r>
        <w:rPr>
          <w:rFonts w:ascii="Calibri" w:cs="Calibri" w:eastAsia="Calibri" w:hAnsi="Calibri"/>
          <w:b/>
          <w:bCs/>
          <w:color w:val="1B365D"/>
          <w:sz w:val="20"/>
          <w:szCs w:val="20"/>
        </w:rPr>
        <w:t xml:space="preserve">Greedy Test Selection: </w:t>
      </w:r>
      <w:r>
        <w:rPr>
          <w:rFonts w:ascii="Calibri" w:cs="Calibri" w:eastAsia="Calibri" w:hAnsi="Calibri"/>
          <w:color w:val="222222"/>
          <w:sz w:val="20"/>
          <w:szCs w:val="20"/>
        </w:rPr>
        <w:t xml:space="preserve">Greedily selects the test that maximizes information gain across variables holding uncertain confidence levels.</w:t>
      </w:r>
    </w:p>
    <w:p>
      <w:pPr>
        <w:pStyle w:val="ListParagraph"/>
        <w:numPr>
          <w:ilvl w:val="0"/>
          <w:numId w:val="1"/>
        </w:numPr>
        <w:spacing w:after="80" w:before="40" w:line="250"/>
      </w:pPr>
      <w:r>
        <w:rPr>
          <w:rFonts w:ascii="Calibri" w:cs="Calibri" w:eastAsia="Calibri" w:hAnsi="Calibri"/>
          <w:b/>
          <w:bCs/>
          <w:color w:val="1B365D"/>
          <w:sz w:val="20"/>
          <w:szCs w:val="20"/>
        </w:rPr>
        <w:t xml:space="preserve">Dynamic Confidence Updating: </w:t>
      </w:r>
      <w:r>
        <w:rPr>
          <w:rFonts w:ascii="Calibri" w:cs="Calibri" w:eastAsia="Calibri" w:hAnsi="Calibri"/>
          <w:color w:val="222222"/>
          <w:sz w:val="20"/>
          <w:szCs w:val="20"/>
        </w:rPr>
        <w:t xml:space="preserve">Passing tests boost confidence across participating CVs; failing tests penalize confidence. When a variable's confidence drops below a threshold, it is deterministically flagged as the root cause.</w:t>
      </w:r>
    </w:p>
    <w:p>
      <w:pPr>
        <w:spacing w:after="240"/>
      </w:pPr>
    </w:p>
    <w:p>
      <w:pPr>
        <w:pStyle w:val="Heading1"/>
        <w:spacing w:after="140" w:before="360"/>
      </w:pPr>
      <w:r>
        <w:rPr>
          <w:rFonts w:ascii="Calibri" w:cs="Calibri" w:eastAsia="Calibri" w:hAnsi="Calibri"/>
          <w:b/>
          <w:bCs/>
          <w:color w:val="1B365D"/>
          <w:sz w:val="28"/>
          <w:szCs w:val="28"/>
        </w:rPr>
        <w:t xml:space="preserve">5. Stage 4: Governed Agentic AI, Model Context Protocol (MCP), and Safety</w:t>
      </w:r>
    </w:p>
    <w:p>
      <w:pPr>
        <w:spacing w:after="110" w:before="0" w:line="260"/>
      </w:pPr>
      <w:r>
        <w:rPr>
          <w:rFonts w:ascii="Calibri" w:cs="Calibri" w:eastAsia="Calibri" w:hAnsi="Calibri"/>
          <w:b w:val="false"/>
          <w:bCs w:val="false"/>
          <w:color w:val="222222"/>
          <w:sz w:val="21"/>
          <w:szCs w:val="21"/>
        </w:rPr>
        <w:t xml:space="preserve">Between 2024 and 2026, the artificial intelligence industry experienced a massive shift from static classifiers to autonomous Agentic AI and Large Language Models. However, deploying raw LLM prompts into live telecommunication networks introduces severe hazards: probabilistic hallucinations, tool-calling syntax errors, and context token exhaustion.</w:t>
      </w:r>
    </w:p>
    <w:p>
      <w:pPr>
        <w:pStyle w:val="Heading2"/>
        <w:spacing w:after="100" w:before="240"/>
      </w:pPr>
      <w:r>
        <w:rPr>
          <w:rFonts w:ascii="Calibri" w:cs="Calibri" w:eastAsia="Calibri" w:hAnsi="Calibri"/>
          <w:b/>
          <w:bCs/>
          <w:color w:val="008080"/>
          <w:sz w:val="24"/>
          <w:szCs w:val="24"/>
        </w:rPr>
        <w:t xml:space="preserve">Why Direct LLM Prompting Collapses (Paper 7 - TN-AutoRCA)</w:t>
      </w:r>
    </w:p>
    <w:p>
      <w:pPr>
        <w:spacing w:after="110" w:before="0" w:line="260"/>
      </w:pPr>
      <w:r>
        <w:rPr>
          <w:rFonts w:ascii="Calibri" w:cs="Calibri" w:eastAsia="Calibri" w:hAnsi="Calibri"/>
          <w:b w:val="false"/>
          <w:bCs w:val="false"/>
          <w:color w:val="222222"/>
          <w:sz w:val="21"/>
          <w:szCs w:val="21"/>
        </w:rPr>
        <w:t xml:space="preserve">In Paper 7 (Wu et al., ICLR 2026 / arXiv:2507.18190), researchers evaluated frontier LLMs (such as Gemini-2.5-Pro and Qwen3-235B) directly on the TN-RCA530 benchmark—a public dataset of 530 real telecom base station operational alarm cascades where 94.5% of scenarios are classified as 'Difficult.'</w:t>
      </w:r>
    </w:p>
    <w:p>
      <w:pPr>
        <w:spacing w:after="110" w:before="0" w:line="260"/>
      </w:pPr>
      <w:r>
        <w:rPr>
          <w:rFonts w:ascii="Calibri" w:cs="Calibri" w:eastAsia="Calibri" w:hAnsi="Calibri"/>
          <w:b w:val="false"/>
          <w:bCs w:val="false"/>
          <w:color w:val="222222"/>
          <w:sz w:val="21"/>
          <w:szCs w:val="21"/>
        </w:rPr>
        <w:t xml:space="preserve">When asked to diagnose root causes token-by-token directly from alarm graphs, model performance collapsed to an F1-score of only 58.99% for Gemini-2.5-Pro and 62.54% for Qwen3-235B. The models suffered from token bloat and struggled with multi-hop topological reasoning.</w:t>
      </w:r>
    </w:p>
    <w:p>
      <w:pPr>
        <w:pStyle w:val="Heading2"/>
        <w:spacing w:after="100" w:before="240"/>
      </w:pPr>
      <w:r>
        <w:rPr>
          <w:rFonts w:ascii="Calibri" w:cs="Calibri" w:eastAsia="Calibri" w:hAnsi="Calibri"/>
          <w:b/>
          <w:bCs/>
          <w:color w:val="008080"/>
          <w:sz w:val="24"/>
          <w:szCs w:val="24"/>
        </w:rPr>
        <w:t xml:space="preserve">The Solution: Agentic Code Synthesis (Evaluate-Analyze-Repair)</w:t>
      </w:r>
    </w:p>
    <w:p>
      <w:pPr>
        <w:spacing w:after="110" w:before="0" w:line="260"/>
      </w:pPr>
      <w:r>
        <w:rPr>
          <w:rFonts w:ascii="Calibri" w:cs="Calibri" w:eastAsia="Calibri" w:hAnsi="Calibri"/>
          <w:b w:val="false"/>
          <w:bCs w:val="false"/>
          <w:color w:val="222222"/>
          <w:sz w:val="21"/>
          <w:szCs w:val="21"/>
        </w:rPr>
        <w:t xml:space="preserve">Instead of using the LLM as a runtime predictor, TN-AutoRCA uses the LLM as an offline code-synthesis engine. The agent iteratively writes, tests, and repairs Python graph-traversal code in an automated loop:</w:t>
      </w:r>
    </w:p>
    <w:p>
      <w:pPr>
        <w:pStyle w:val="ListParagraph"/>
        <w:numPr>
          <w:ilvl w:val="0"/>
          <w:numId w:val="1"/>
        </w:numPr>
        <w:spacing w:after="80" w:before="40" w:line="250"/>
      </w:pPr>
      <w:r>
        <w:rPr>
          <w:rFonts w:ascii="Calibri" w:cs="Calibri" w:eastAsia="Calibri" w:hAnsi="Calibri"/>
          <w:b/>
          <w:bCs/>
          <w:color w:val="1B365D"/>
          <w:sz w:val="20"/>
          <w:szCs w:val="20"/>
        </w:rPr>
        <w:t xml:space="preserve">1. Execution: </w:t>
      </w:r>
      <w:r>
        <w:rPr>
          <w:rFonts w:ascii="Calibri" w:cs="Calibri" w:eastAsia="Calibri" w:hAnsi="Calibri"/>
          <w:color w:val="222222"/>
          <w:sz w:val="20"/>
          <w:szCs w:val="20"/>
        </w:rPr>
        <w:t xml:space="preserve">The system executes the synthesized traversal script across the benchmark.</w:t>
      </w:r>
    </w:p>
    <w:p>
      <w:pPr>
        <w:pStyle w:val="ListParagraph"/>
        <w:numPr>
          <w:ilvl w:val="0"/>
          <w:numId w:val="1"/>
        </w:numPr>
        <w:spacing w:after="80" w:before="40" w:line="250"/>
      </w:pPr>
      <w:r>
        <w:rPr>
          <w:rFonts w:ascii="Calibri" w:cs="Calibri" w:eastAsia="Calibri" w:hAnsi="Calibri"/>
          <w:b/>
          <w:bCs/>
          <w:color w:val="1B365D"/>
          <w:sz w:val="20"/>
          <w:szCs w:val="20"/>
        </w:rPr>
        <w:t xml:space="preserve">2. Contrastive Analysis: </w:t>
      </w:r>
      <w:r>
        <w:rPr>
          <w:rFonts w:ascii="Calibri" w:cs="Calibri" w:eastAsia="Calibri" w:hAnsi="Calibri"/>
          <w:color w:val="222222"/>
          <w:sz w:val="20"/>
          <w:szCs w:val="20"/>
        </w:rPr>
        <w:t xml:space="preserve">Aggregates all failure instances and extracts systemic logical flaws across graph patterns.</w:t>
      </w:r>
    </w:p>
    <w:p>
      <w:pPr>
        <w:pStyle w:val="ListParagraph"/>
        <w:numPr>
          <w:ilvl w:val="0"/>
          <w:numId w:val="1"/>
        </w:numPr>
        <w:spacing w:after="80" w:before="40" w:line="250"/>
      </w:pPr>
      <w:r>
        <w:rPr>
          <w:rFonts w:ascii="Calibri" w:cs="Calibri" w:eastAsia="Calibri" w:hAnsi="Calibri"/>
          <w:b/>
          <w:bCs/>
          <w:color w:val="1B365D"/>
          <w:sz w:val="20"/>
          <w:szCs w:val="20"/>
        </w:rPr>
        <w:t xml:space="preserve">3. Code Repair: </w:t>
      </w:r>
      <w:r>
        <w:rPr>
          <w:rFonts w:ascii="Calibri" w:cs="Calibri" w:eastAsia="Calibri" w:hAnsi="Calibri"/>
          <w:color w:val="222222"/>
          <w:sz w:val="20"/>
          <w:szCs w:val="20"/>
        </w:rPr>
        <w:t xml:space="preserve">Feeds structured contrastive feedback back to the LLM to patch the traversal code.</w:t>
      </w:r>
    </w:p>
    <w:p>
      <w:pPr>
        <w:spacing w:after="110" w:before="0" w:line="260"/>
      </w:pPr>
      <w:r>
        <w:rPr>
          <w:rFonts w:ascii="Calibri" w:cs="Calibri" w:eastAsia="Calibri" w:hAnsi="Calibri"/>
          <w:b w:val="false"/>
          <w:bCs w:val="false"/>
          <w:color w:val="222222"/>
          <w:sz w:val="21"/>
          <w:szCs w:val="21"/>
        </w:rPr>
        <w:t xml:space="preserve">This self-improving loop elevated Gemini-2.5-Pro's solution F1-score from 58.99% to 91.79% (+32.80% absolute gain). At runtime, the synthesized code executes deterministically in sub-milliseconds without latency or token costs.</w:t>
      </w:r>
    </w:p>
    <w:p>
      <w:pPr>
        <w:pStyle w:val="Heading2"/>
        <w:spacing w:after="100" w:before="240"/>
      </w:pPr>
      <w:r>
        <w:rPr>
          <w:rFonts w:ascii="Calibri" w:cs="Calibri" w:eastAsia="Calibri" w:hAnsi="Calibri"/>
          <w:b/>
          <w:bCs/>
          <w:color w:val="008080"/>
          <w:sz w:val="24"/>
          <w:szCs w:val="24"/>
        </w:rPr>
        <w:t xml:space="preserve">Model Context Protocol (MCP) Standardized Surfaces (Paper 14)</w:t>
      </w:r>
    </w:p>
    <w:p>
      <w:pPr>
        <w:spacing w:after="110" w:before="0" w:line="260"/>
      </w:pPr>
      <w:r>
        <w:rPr>
          <w:rFonts w:ascii="Calibri" w:cs="Calibri" w:eastAsia="Calibri" w:hAnsi="Calibri"/>
          <w:b w:val="false"/>
          <w:bCs w:val="false"/>
          <w:color w:val="222222"/>
          <w:sz w:val="21"/>
          <w:szCs w:val="21"/>
        </w:rPr>
        <w:t xml:space="preserve">To allow real-time diagnostic agents (TAIA, NFVAgent) to query live network state safely, we implement the open Model Context Protocol (MCP) across four standardized operational surfaces:</w:t>
      </w:r>
    </w:p>
    <w:p>
      <w:pPr>
        <w:pStyle w:val="ListParagraph"/>
        <w:numPr>
          <w:ilvl w:val="0"/>
          <w:numId w:val="1"/>
        </w:numPr>
        <w:spacing w:after="80" w:before="40" w:line="250"/>
      </w:pPr>
      <w:r>
        <w:rPr>
          <w:rFonts w:ascii="Calibri" w:cs="Calibri" w:eastAsia="Calibri" w:hAnsi="Calibri"/>
          <w:b/>
          <w:bCs/>
          <w:color w:val="1B365D"/>
          <w:sz w:val="20"/>
          <w:szCs w:val="20"/>
        </w:rPr>
        <w:t xml:space="preserve">Radio Access Network (RAN): </w:t>
      </w:r>
      <w:r>
        <w:rPr>
          <w:rFonts w:ascii="Calibri" w:cs="Calibri" w:eastAsia="Calibri" w:hAnsi="Calibri"/>
          <w:color w:val="222222"/>
          <w:sz w:val="20"/>
          <w:szCs w:val="20"/>
        </w:rPr>
        <w:t xml:space="preserve">Monitoring xApps and rApps within the Open RAN Near-RT RIC.</w:t>
      </w:r>
    </w:p>
    <w:p>
      <w:pPr>
        <w:pStyle w:val="ListParagraph"/>
        <w:numPr>
          <w:ilvl w:val="0"/>
          <w:numId w:val="1"/>
        </w:numPr>
        <w:spacing w:after="80" w:before="40" w:line="250"/>
      </w:pPr>
      <w:r>
        <w:rPr>
          <w:rFonts w:ascii="Calibri" w:cs="Calibri" w:eastAsia="Calibri" w:hAnsi="Calibri"/>
          <w:b/>
          <w:bCs/>
          <w:color w:val="1B365D"/>
          <w:sz w:val="20"/>
          <w:szCs w:val="20"/>
        </w:rPr>
        <w:t xml:space="preserve">Transport Network (TN): </w:t>
      </w:r>
      <w:r>
        <w:rPr>
          <w:rFonts w:ascii="Calibri" w:cs="Calibri" w:eastAsia="Calibri" w:hAnsi="Calibri"/>
          <w:color w:val="222222"/>
          <w:sz w:val="20"/>
          <w:szCs w:val="20"/>
        </w:rPr>
        <w:t xml:space="preserve">In-band Network Telemetry (INT) flow metrics.</w:t>
      </w:r>
    </w:p>
    <w:p>
      <w:pPr>
        <w:pStyle w:val="ListParagraph"/>
        <w:numPr>
          <w:ilvl w:val="0"/>
          <w:numId w:val="1"/>
        </w:numPr>
        <w:spacing w:after="80" w:before="40" w:line="250"/>
      </w:pPr>
      <w:r>
        <w:rPr>
          <w:rFonts w:ascii="Calibri" w:cs="Calibri" w:eastAsia="Calibri" w:hAnsi="Calibri"/>
          <w:b/>
          <w:bCs/>
          <w:color w:val="1B365D"/>
          <w:sz w:val="20"/>
          <w:szCs w:val="20"/>
        </w:rPr>
        <w:t xml:space="preserve">Core Network (5GC): </w:t>
      </w:r>
      <w:r>
        <w:rPr>
          <w:rFonts w:ascii="Calibri" w:cs="Calibri" w:eastAsia="Calibri" w:hAnsi="Calibri"/>
          <w:color w:val="222222"/>
          <w:sz w:val="20"/>
          <w:szCs w:val="20"/>
        </w:rPr>
        <w:t xml:space="preserve">3GPP Network Data Analytics Function (NWDAF) and NEF event exposure.</w:t>
      </w:r>
    </w:p>
    <w:p>
      <w:pPr>
        <w:pStyle w:val="ListParagraph"/>
        <w:numPr>
          <w:ilvl w:val="0"/>
          <w:numId w:val="1"/>
        </w:numPr>
        <w:spacing w:after="80" w:before="40" w:line="250"/>
      </w:pPr>
      <w:r>
        <w:rPr>
          <w:rFonts w:ascii="Calibri" w:cs="Calibri" w:eastAsia="Calibri" w:hAnsi="Calibri"/>
          <w:b/>
          <w:bCs/>
          <w:color w:val="1B365D"/>
          <w:sz w:val="20"/>
          <w:szCs w:val="20"/>
        </w:rPr>
        <w:t xml:space="preserve">Cloud &amp; Edge Infrastructure: </w:t>
      </w:r>
      <w:r>
        <w:rPr>
          <w:rFonts w:ascii="Calibri" w:cs="Calibri" w:eastAsia="Calibri" w:hAnsi="Calibri"/>
          <w:color w:val="222222"/>
          <w:sz w:val="20"/>
          <w:szCs w:val="20"/>
        </w:rPr>
        <w:t xml:space="preserve">Prometheus time-series and Kubernetes declarative manifests.</w:t>
      </w:r>
    </w:p>
    <w:p>
      <w:pPr>
        <w:spacing w:after="110" w:before="0" w:line="260"/>
      </w:pPr>
      <w:r>
        <w:rPr>
          <w:rFonts w:ascii="Calibri" w:cs="Calibri" w:eastAsia="Calibri" w:hAnsi="Calibri"/>
          <w:b w:val="false"/>
          <w:bCs w:val="false"/>
          <w:color w:val="222222"/>
          <w:sz w:val="21"/>
          <w:szCs w:val="21"/>
        </w:rPr>
        <w:t xml:space="preserve">As proven in MCP-Diag (Chen et al., 2025/2026), exposing diagnostic tools through strictly typed MCP schemas in the Agent Abstraction Layer achieves 100% entity extraction accuracy with &lt;0.9% latency overhead, virtually eliminating tool hallucinations across 150 live incidents.</w:t>
      </w:r>
    </w:p>
    <w:p>
      <w:pPr>
        <w:pStyle w:val="Heading2"/>
        <w:spacing w:after="100" w:before="240"/>
      </w:pPr>
      <w:r>
        <w:rPr>
          <w:rFonts w:ascii="Calibri" w:cs="Calibri" w:eastAsia="Calibri" w:hAnsi="Calibri"/>
          <w:b/>
          <w:bCs/>
          <w:color w:val="008080"/>
          <w:sz w:val="24"/>
          <w:szCs w:val="24"/>
        </w:rPr>
        <w:t xml:space="preserve">Carrier Safety Guardrails: AGORA &amp; Human-in-the-Loop (HITL)</w:t>
      </w:r>
    </w:p>
    <w:p>
      <w:pPr>
        <w:spacing w:after="110" w:before="0" w:line="260"/>
      </w:pPr>
      <w:r>
        <w:rPr>
          <w:rFonts w:ascii="Calibri" w:cs="Calibri" w:eastAsia="Calibri" w:hAnsi="Calibri"/>
          <w:b w:val="false"/>
          <w:bCs w:val="false"/>
          <w:color w:val="222222"/>
          <w:sz w:val="21"/>
          <w:szCs w:val="21"/>
        </w:rPr>
        <w:t xml:space="preserve">To prevent automated AI actions from inadvertently taking down live carrier clusters, the framework enforces two non-negotiable safety guardrails:</w:t>
      </w:r>
    </w:p>
    <w:p>
      <w:pPr>
        <w:pStyle w:val="ListParagraph"/>
        <w:numPr>
          <w:ilvl w:val="0"/>
          <w:numId w:val="1"/>
        </w:numPr>
        <w:spacing w:after="80" w:before="40" w:line="250"/>
      </w:pPr>
      <w:r>
        <w:rPr>
          <w:rFonts w:ascii="Calibri" w:cs="Calibri" w:eastAsia="Calibri" w:hAnsi="Calibri"/>
          <w:b/>
          <w:bCs/>
          <w:color w:val="1B365D"/>
          <w:sz w:val="20"/>
          <w:szCs w:val="20"/>
        </w:rPr>
        <w:t xml:space="preserve">State-Estimation-Before-Actuation (AGORA Compliance): </w:t>
      </w:r>
      <w:r>
        <w:rPr>
          <w:rFonts w:ascii="Calibri" w:cs="Calibri" w:eastAsia="Calibri" w:hAnsi="Calibri"/>
          <w:color w:val="222222"/>
          <w:sz w:val="20"/>
          <w:szCs w:val="20"/>
        </w:rPr>
        <w:t xml:space="preserve">As formulated in AGORA (IEEE Access 2025), any mutating action (pod restart, VNF scale-out) is strictly rejected unless the agent's execution trace proves it queried live Prometheus telemetry immediately prior to invoking the actuation API.</w:t>
      </w:r>
    </w:p>
    <w:p>
      <w:pPr>
        <w:pStyle w:val="ListParagraph"/>
        <w:numPr>
          <w:ilvl w:val="0"/>
          <w:numId w:val="1"/>
        </w:numPr>
        <w:spacing w:after="80" w:before="40" w:line="250"/>
      </w:pPr>
      <w:r>
        <w:rPr>
          <w:rFonts w:ascii="Calibri" w:cs="Calibri" w:eastAsia="Calibri" w:hAnsi="Calibri"/>
          <w:b/>
          <w:bCs/>
          <w:color w:val="1B365D"/>
          <w:sz w:val="20"/>
          <w:szCs w:val="20"/>
        </w:rPr>
        <w:t xml:space="preserve">Human-in-the-Loop (HITL) Cryptographic Gate: </w:t>
      </w:r>
      <w:r>
        <w:rPr>
          <w:rFonts w:ascii="Calibri" w:cs="Calibri" w:eastAsia="Calibri" w:hAnsi="Calibri"/>
          <w:color w:val="222222"/>
          <w:sz w:val="20"/>
          <w:szCs w:val="20"/>
        </w:rPr>
        <w:t xml:space="preserve">High-blast-radius remediation actions require explicit operator approval via an authenticated web dialog before execution.</w:t>
      </w:r>
    </w:p>
    <w:p>
      <w:pPr>
        <w:spacing w:after="240"/>
      </w:pPr>
    </w:p>
    <w:p>
      <w:pPr>
        <w:pStyle w:val="Heading1"/>
        <w:spacing w:after="140" w:before="360"/>
      </w:pPr>
      <w:r>
        <w:rPr>
          <w:rFonts w:ascii="Calibri" w:cs="Calibri" w:eastAsia="Calibri" w:hAnsi="Calibri"/>
          <w:b/>
          <w:bCs/>
          <w:color w:val="1B365D"/>
          <w:sz w:val="28"/>
          <w:szCs w:val="28"/>
        </w:rPr>
        <w:t xml:space="preserve">6. Multi-Actor SLA Liability Attribution &amp; Contractual Penalties</w:t>
      </w:r>
    </w:p>
    <w:p>
      <w:pPr>
        <w:spacing w:after="110" w:before="0" w:line="260"/>
      </w:pPr>
      <w:r>
        <w:rPr>
          <w:rFonts w:ascii="Calibri" w:cs="Calibri" w:eastAsia="Calibri" w:hAnsi="Calibri"/>
          <w:b w:val="false"/>
          <w:bCs w:val="false"/>
          <w:color w:val="222222"/>
          <w:sz w:val="21"/>
          <w:szCs w:val="21"/>
        </w:rPr>
        <w:t xml:space="preserve">In commercial 5G and 6G deployments, an end-to-end service or network slice is rarely owned by a single company. A typical slice is composed of microservices operated by multiple separate business entities: the Mobile Network Operator (MNO), a Hyperscale Public Cloud Provider (e.g., AWS), third-party VNF software vendors, and edge IoT operators.</w:t>
      </w:r>
    </w:p>
    <w:p>
      <w:pPr>
        <w:spacing w:after="110" w:before="0" w:line="260"/>
      </w:pPr>
      <w:r>
        <w:rPr>
          <w:rFonts w:ascii="Calibri" w:cs="Calibri" w:eastAsia="Calibri" w:hAnsi="Calibri"/>
          <w:b w:val="false"/>
          <w:bCs w:val="false"/>
          <w:color w:val="222222"/>
          <w:sz w:val="21"/>
          <w:szCs w:val="21"/>
        </w:rPr>
        <w:t xml:space="preserve">When a Service Level Agreement (SLA) is breached, technical root cause isolation is only half the battle. The operator must translate the technical fault into verifiable financial and contractual liability.</w:t>
      </w:r>
    </w:p>
    <w:p>
      <w:pPr>
        <w:pStyle w:val="Heading2"/>
        <w:spacing w:after="100" w:before="240"/>
      </w:pPr>
      <w:r>
        <w:rPr>
          <w:rFonts w:ascii="Calibri" w:cs="Calibri" w:eastAsia="Calibri" w:hAnsi="Calibri"/>
          <w:b/>
          <w:bCs/>
          <w:color w:val="008080"/>
          <w:sz w:val="24"/>
          <w:szCs w:val="24"/>
        </w:rPr>
        <w:t xml:space="preserve">LASM Analysis Service &amp; Dynamic Trust Scoring (Paper 3)</w:t>
      </w:r>
    </w:p>
    <w:p>
      <w:pPr>
        <w:spacing w:after="110" w:before="0" w:line="260"/>
      </w:pPr>
      <w:r>
        <w:rPr>
          <w:rFonts w:ascii="Calibri" w:cs="Calibri" w:eastAsia="Calibri" w:hAnsi="Calibri"/>
          <w:b w:val="false"/>
          <w:bCs w:val="false"/>
          <w:color w:val="222222"/>
          <w:sz w:val="21"/>
          <w:szCs w:val="21"/>
        </w:rPr>
        <w:t xml:space="preserve">Developed within the European Union 5G PPP INSPIRE-5Gplus initiative, the LASM Analysis Service (Anser et al., IEEE TNSM 2025) monitors Service Level Indicators (SLIs) across multi-actor chains. It computes dynamic trust scores for each partner and attributes financial penalties graded against the Monthly Recurring Charge (MRC):</w:t>
      </w:r>
    </w:p>
    <w:p>
      <w:pPr>
        <w:pStyle w:val="ListParagraph"/>
        <w:numPr>
          <w:ilvl w:val="0"/>
          <w:numId w:val="1"/>
        </w:numPr>
        <w:spacing w:after="80" w:before="40" w:line="250"/>
      </w:pPr>
      <w:r>
        <w:rPr>
          <w:rFonts w:ascii="Calibri" w:cs="Calibri" w:eastAsia="Calibri" w:hAnsi="Calibri"/>
          <w:b/>
          <w:bCs/>
          <w:color w:val="1B365D"/>
          <w:sz w:val="20"/>
          <w:szCs w:val="20"/>
        </w:rPr>
        <w:t xml:space="preserve">10% MRC Penalty: </w:t>
      </w:r>
      <w:r>
        <w:rPr>
          <w:rFonts w:ascii="Calibri" w:cs="Calibri" w:eastAsia="Calibri" w:hAnsi="Calibri"/>
          <w:color w:val="222222"/>
          <w:sz w:val="20"/>
          <w:szCs w:val="20"/>
        </w:rPr>
        <w:t xml:space="preserve">Assigned for minor, non-cascading performance degradations resolved within SLA warning windows.</w:t>
      </w:r>
    </w:p>
    <w:p>
      <w:pPr>
        <w:pStyle w:val="ListParagraph"/>
        <w:numPr>
          <w:ilvl w:val="0"/>
          <w:numId w:val="1"/>
        </w:numPr>
        <w:spacing w:after="80" w:before="40" w:line="250"/>
      </w:pPr>
      <w:r>
        <w:rPr>
          <w:rFonts w:ascii="Calibri" w:cs="Calibri" w:eastAsia="Calibri" w:hAnsi="Calibri"/>
          <w:b/>
          <w:bCs/>
          <w:color w:val="1B365D"/>
          <w:sz w:val="20"/>
          <w:szCs w:val="20"/>
        </w:rPr>
        <w:t xml:space="preserve">20% MRC Penalty: </w:t>
      </w:r>
      <w:r>
        <w:rPr>
          <w:rFonts w:ascii="Calibri" w:cs="Calibri" w:eastAsia="Calibri" w:hAnsi="Calibri"/>
          <w:color w:val="222222"/>
          <w:sz w:val="20"/>
          <w:szCs w:val="20"/>
        </w:rPr>
        <w:t xml:space="preserve">Assigned for moderate multi-service impairments causing control-plane transaction failures (e.g., AMF registration delays).</w:t>
      </w:r>
    </w:p>
    <w:p>
      <w:pPr>
        <w:pStyle w:val="ListParagraph"/>
        <w:numPr>
          <w:ilvl w:val="0"/>
          <w:numId w:val="1"/>
        </w:numPr>
        <w:spacing w:after="80" w:before="40" w:line="250"/>
      </w:pPr>
      <w:r>
        <w:rPr>
          <w:rFonts w:ascii="Calibri" w:cs="Calibri" w:eastAsia="Calibri" w:hAnsi="Calibri"/>
          <w:b/>
          <w:bCs/>
          <w:color w:val="1B365D"/>
          <w:sz w:val="20"/>
          <w:szCs w:val="20"/>
        </w:rPr>
        <w:t xml:space="preserve">30% MRC Penalty: </w:t>
      </w:r>
      <w:r>
        <w:rPr>
          <w:rFonts w:ascii="Calibri" w:cs="Calibri" w:eastAsia="Calibri" w:hAnsi="Calibri"/>
          <w:color w:val="222222"/>
          <w:sz w:val="20"/>
          <w:szCs w:val="20"/>
        </w:rPr>
        <w:t xml:space="preserve">Assigned for severe catastrophic outages violating hard contractual availability thresholds.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340"/>
        <w:gridCol w:w="2340"/>
        <w:gridCol w:w="2340"/>
        <w:gridCol w:w="2340"/>
      </w:tblGrid>
      <w:tr>
        <w:tc>
          <w:tcPr>
            <w:tcW w:type="dxa" w:w="234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Architectural Dimension</w:t>
            </w:r>
          </w:p>
        </w:tc>
        <w:tc>
          <w:tcPr>
            <w:tcW w:type="dxa" w:w="234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DTFL (Paper 2 - IEEE TCC)</w:t>
            </w:r>
          </w:p>
        </w:tc>
        <w:tc>
          <w:tcPr>
            <w:tcW w:type="dxa" w:w="234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ST-GNN (Paper 15 - Front. AI)</w:t>
            </w:r>
          </w:p>
        </w:tc>
        <w:tc>
          <w:tcPr>
            <w:tcW w:type="dxa" w:w="234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LASM (Paper 3 - IEEE TNSM)</w:t>
            </w:r>
          </w:p>
        </w:tc>
      </w:tr>
      <w:tr>
        <w:tc>
          <w:tcPr>
            <w:tcW w:type="dxa" w:w="234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Primary Structural Model</w:t>
            </w:r>
          </w:p>
        </w:tc>
        <w:tc>
          <w:tcPr>
            <w:tcW w:type="dxa" w:w="23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3-layer Digital Twin of physical nodes, links, and VNFs</w:t>
            </w:r>
          </w:p>
        </w:tc>
        <w:tc>
          <w:tcPr>
            <w:tcW w:type="dxa" w:w="23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Service invocation dependency graph + 5G KPI tensors</w:t>
            </w:r>
          </w:p>
        </w:tc>
        <w:tc>
          <w:tcPr>
            <w:tcW w:type="dxa" w:w="23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Multi-actor dynamic microservice chain with SLA contracts</w:t>
            </w:r>
          </w:p>
        </w:tc>
      </w:tr>
      <w:tr>
        <w:tc>
          <w:tcPr>
            <w:tcW w:type="dxa" w:w="234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Data &amp; Feature Fusion</w:t>
            </w:r>
          </w:p>
        </w:tc>
        <w:tc>
          <w:tcPr>
            <w:tcW w:type="dxa" w:w="23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BERT text embeddings + node resource features into GCN</w:t>
            </w:r>
          </w:p>
        </w:tc>
        <w:tc>
          <w:tcPr>
            <w:tcW w:type="dxa" w:w="23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Graph attention over invocation latency + gated CNN-Transformer</w:t>
            </w:r>
          </w:p>
        </w:tc>
        <w:tc>
          <w:tcPr>
            <w:tcW w:type="dxa" w:w="23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Service Level Indicators (SLIs), RCA outputs, and actor histories</w:t>
            </w:r>
          </w:p>
        </w:tc>
      </w:tr>
      <w:tr>
        <w:tc>
          <w:tcPr>
            <w:tcW w:type="dxa" w:w="234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Dynamic Topology Handling</w:t>
            </w:r>
          </w:p>
        </w:tc>
        <w:tc>
          <w:tcPr>
            <w:tcW w:type="dxa" w:w="23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Real-time SFC-twin sync + synthetic twin fault injection</w:t>
            </w:r>
          </w:p>
        </w:tc>
        <w:tc>
          <w:tcPr>
            <w:tcW w:type="dxa" w:w="23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Dynamic attention re-weighting + learnable positional encoding</w:t>
            </w:r>
          </w:p>
        </w:tc>
        <w:tc>
          <w:tcPr>
            <w:tcW w:type="dxa" w:w="23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Dynamic trust score updating per service orchestration epoch</w:t>
            </w:r>
          </w:p>
        </w:tc>
      </w:tr>
      <w:tr>
        <w:tc>
          <w:tcPr>
            <w:tcW w:type="dxa" w:w="234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Primary Diagnostic Output</w:t>
            </w:r>
          </w:p>
        </w:tc>
        <w:tc>
          <w:tcPr>
            <w:tcW w:type="dxa" w:w="23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Ranked failure node IDs via BDF-FL graph search</w:t>
            </w:r>
          </w:p>
        </w:tc>
        <w:tc>
          <w:tcPr>
            <w:tcW w:type="dxa" w:w="23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Indirect root cause microservice &amp; multi-class fault type</w:t>
            </w:r>
          </w:p>
        </w:tc>
        <w:tc>
          <w:tcPr>
            <w:tcW w:type="dxa" w:w="23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Actor liability attribution &amp; 10%-30% MRC penalty percentage</w:t>
            </w:r>
          </w:p>
        </w:tc>
      </w:tr>
    </w:tbl>
    <w:p>
      <w:pPr>
        <w:spacing w:after="240"/>
      </w:pPr>
    </w:p>
    <w:p>
      <w:pPr>
        <w:pStyle w:val="Heading1"/>
        <w:spacing w:after="140" w:before="360"/>
      </w:pPr>
      <w:r>
        <w:rPr>
          <w:rFonts w:ascii="Calibri" w:cs="Calibri" w:eastAsia="Calibri" w:hAnsi="Calibri"/>
          <w:b/>
          <w:bCs/>
          <w:color w:val="1B365D"/>
          <w:sz w:val="28"/>
          <w:szCs w:val="28"/>
        </w:rPr>
        <w:t xml:space="preserve">7. End-to-End System Architecture &amp; AWS Cloud Blueprint</w:t>
      </w:r>
    </w:p>
    <w:p>
      <w:pPr>
        <w:spacing w:after="110" w:before="0" w:line="260"/>
      </w:pPr>
      <w:r>
        <w:rPr>
          <w:rFonts w:ascii="Calibri" w:cs="Calibri" w:eastAsia="Calibri" w:hAnsi="Calibri"/>
          <w:b w:val="false"/>
          <w:bCs w:val="false"/>
          <w:color w:val="222222"/>
          <w:sz w:val="21"/>
          <w:szCs w:val="21"/>
        </w:rPr>
        <w:t xml:space="preserve">The complete system is architected as a five-layer carrier-grade pipeline deployed on AWS Cloud. The pipeline transitions seamlessly from real-time multi-domain data ingestion down to automated closed-loop remediation.</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2340"/>
        <w:gridCol w:w="4920"/>
      </w:tblGrid>
      <w:tr>
        <w:tc>
          <w:tcPr>
            <w:tcW w:type="dxa" w:w="210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Architectural Layer</w:t>
            </w:r>
          </w:p>
        </w:tc>
        <w:tc>
          <w:tcPr>
            <w:tcW w:type="dxa" w:w="234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AWS Cloud Service</w:t>
            </w:r>
          </w:p>
        </w:tc>
        <w:tc>
          <w:tcPr>
            <w:tcW w:type="dxa" w:w="492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Carrier Operational Purpose &amp; Functional Detail</w:t>
            </w:r>
          </w:p>
        </w:tc>
      </w:tr>
      <w:tr>
        <w:tc>
          <w:tcPr>
            <w:tcW w:type="dxa" w:w="210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1. Telemetry Ingestion</w:t>
            </w:r>
          </w:p>
        </w:tc>
        <w:tc>
          <w:tcPr>
            <w:tcW w:type="dxa" w:w="23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Amazon Kinesis Data Streams</w:t>
            </w:r>
          </w:p>
        </w:tc>
        <w:tc>
          <w:tcPr>
            <w:tcW w:type="dxa" w:w="492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Ingests 5GC PM counters, streaming logs, and PCAP frames at &gt;= 25,000 events/second.</w:t>
            </w:r>
          </w:p>
        </w:tc>
      </w:tr>
      <w:tr>
        <w:tc>
          <w:tcPr>
            <w:tcW w:type="dxa" w:w="210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1. Cross-Domain Bus</w:t>
            </w:r>
          </w:p>
        </w:tc>
        <w:tc>
          <w:tcPr>
            <w:tcW w:type="dxa" w:w="23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Amazon MSK (Managed Kafka)</w:t>
            </w:r>
          </w:p>
        </w:tc>
        <w:tc>
          <w:tcPr>
            <w:tcW w:type="dxa" w:w="492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High-throughput event streaming bus decoupling collectors from normalization engines.</w:t>
            </w:r>
          </w:p>
        </w:tc>
      </w:tr>
      <w:tr>
        <w:tc>
          <w:tcPr>
            <w:tcW w:type="dxa" w:w="210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2. Data Lake Storage</w:t>
            </w:r>
          </w:p>
        </w:tc>
        <w:tc>
          <w:tcPr>
            <w:tcW w:type="dxa" w:w="23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Amazon S3</w:t>
            </w:r>
          </w:p>
        </w:tc>
        <w:tc>
          <w:tcPr>
            <w:tcW w:type="dxa" w:w="492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Parquet data lake partitioned by domain, date, and incident ID for raw telemetry archiving.</w:t>
            </w:r>
          </w:p>
        </w:tc>
      </w:tr>
      <w:tr>
        <w:tc>
          <w:tcPr>
            <w:tcW w:type="dxa" w:w="210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2. Ingestion &amp; Hygiene</w:t>
            </w:r>
          </w:p>
        </w:tc>
        <w:tc>
          <w:tcPr>
            <w:tcW w:type="dxa" w:w="23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AWS Glue &amp; AWS Lambda</w:t>
            </w:r>
          </w:p>
        </w:tc>
        <w:tc>
          <w:tcPr>
            <w:tcW w:type="dxa" w:w="492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Executes 3-layer KPI filtering (Shannon entropy, correlation) and SOMP delta calculations.</w:t>
            </w:r>
          </w:p>
        </w:tc>
      </w:tr>
      <w:tr>
        <w:tc>
          <w:tcPr>
            <w:tcW w:type="dxa" w:w="210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2. Time-Series Store</w:t>
            </w:r>
          </w:p>
        </w:tc>
        <w:tc>
          <w:tcPr>
            <w:tcW w:type="dxa" w:w="23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Amazon Timestream</w:t>
            </w:r>
          </w:p>
        </w:tc>
        <w:tc>
          <w:tcPr>
            <w:tcW w:type="dxa" w:w="492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Dedicated time-series store querying SOMP-normalized MTS telemetry with low query latency.</w:t>
            </w:r>
          </w:p>
        </w:tc>
      </w:tr>
      <w:tr>
        <w:tc>
          <w:tcPr>
            <w:tcW w:type="dxa" w:w="210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2. Log &amp; PCAP Index</w:t>
            </w:r>
          </w:p>
        </w:tc>
        <w:tc>
          <w:tcPr>
            <w:tcW w:type="dxa" w:w="23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Amazon OpenSearch</w:t>
            </w:r>
          </w:p>
        </w:tc>
        <w:tc>
          <w:tcPr>
            <w:tcW w:type="dxa" w:w="492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Distributed full-text index for 5GC NF text logs and parsed Wireshark PCAP JSON frames.</w:t>
            </w:r>
          </w:p>
        </w:tc>
      </w:tr>
      <w:tr>
        <w:tc>
          <w:tcPr>
            <w:tcW w:type="dxa" w:w="210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3. Topology Graph DB</w:t>
            </w:r>
          </w:p>
        </w:tc>
        <w:tc>
          <w:tcPr>
            <w:tcW w:type="dxa" w:w="23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Amazon Neptune</w:t>
            </w:r>
          </w:p>
        </w:tc>
        <w:tc>
          <w:tcPr>
            <w:tcW w:type="dxa" w:w="492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Managed graph database (Gremlin/SPARQL) storing SFC Digital Twin and physical topologies.</w:t>
            </w:r>
          </w:p>
        </w:tc>
      </w:tr>
      <w:tr>
        <w:tc>
          <w:tcPr>
            <w:tcW w:type="dxa" w:w="210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3. SOP Vector Store</w:t>
            </w:r>
          </w:p>
        </w:tc>
        <w:tc>
          <w:tcPr>
            <w:tcW w:type="dxa" w:w="23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Amazon RDS + pgvector</w:t>
            </w:r>
          </w:p>
        </w:tc>
        <w:tc>
          <w:tcPr>
            <w:tcW w:type="dxa" w:w="492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Stores vector embeddings of ETSI NFV-MANO specifications and vendor troubleshooting runbooks.</w:t>
            </w:r>
          </w:p>
        </w:tc>
      </w:tr>
      <w:tr>
        <w:tc>
          <w:tcPr>
            <w:tcW w:type="dxa" w:w="210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3. Contamination &amp; ML</w:t>
            </w:r>
          </w:p>
        </w:tc>
        <w:tc>
          <w:tcPr>
            <w:tcW w:type="dxa" w:w="23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Amazon SageMaker</w:t>
            </w:r>
          </w:p>
        </w:tc>
        <w:tc>
          <w:tcPr>
            <w:tcW w:type="dxa" w:w="492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Hosts MNSUAD, TeleGAN-Core, DTFL transGNN, and ST-GNN real-time multi-model endpoints.</w:t>
            </w:r>
          </w:p>
        </w:tc>
      </w:tr>
      <w:tr>
        <w:tc>
          <w:tcPr>
            <w:tcW w:type="dxa" w:w="210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4. Agentic AI Reasoning</w:t>
            </w:r>
          </w:p>
        </w:tc>
        <w:tc>
          <w:tcPr>
            <w:tcW w:type="dxa" w:w="23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Amazon Bedrock</w:t>
            </w:r>
          </w:p>
        </w:tc>
        <w:tc>
          <w:tcPr>
            <w:tcW w:type="dxa" w:w="492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Hosts Claude 3.5 Sonnet executing TAIA multi-agent planning and TN-AutoRCA code synthesis.</w:t>
            </w:r>
          </w:p>
        </w:tc>
      </w:tr>
      <w:tr>
        <w:tc>
          <w:tcPr>
            <w:tcW w:type="dxa" w:w="210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4. Tool Interface Layer</w:t>
            </w:r>
          </w:p>
        </w:tc>
        <w:tc>
          <w:tcPr>
            <w:tcW w:type="dxa" w:w="23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MCP Telemetry Server</w:t>
            </w:r>
          </w:p>
        </w:tc>
        <w:tc>
          <w:tcPr>
            <w:tcW w:type="dxa" w:w="492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FastAPI JSON-RPC microservice exposing Prometheus, K8s, and NWDAF via Model Context Protocol.</w:t>
            </w:r>
          </w:p>
        </w:tc>
      </w:tr>
      <w:tr>
        <w:tc>
          <w:tcPr>
            <w:tcW w:type="dxa" w:w="210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4. Pipeline Orchestrator</w:t>
            </w:r>
          </w:p>
        </w:tc>
        <w:tc>
          <w:tcPr>
            <w:tcW w:type="dxa" w:w="23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AWS Step Functions</w:t>
            </w:r>
          </w:p>
        </w:tc>
        <w:tc>
          <w:tcPr>
            <w:tcW w:type="dxa" w:w="492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Express state machine coordinating data query, ML inference, active probing, and LLM reasoning.</w:t>
            </w:r>
          </w:p>
        </w:tc>
      </w:tr>
      <w:tr>
        <w:tc>
          <w:tcPr>
            <w:tcW w:type="dxa" w:w="210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5. Remediation &amp; Autoscaling</w:t>
            </w:r>
          </w:p>
        </w:tc>
        <w:tc>
          <w:tcPr>
            <w:tcW w:type="dxa" w:w="234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EventBridge + SSM</w:t>
            </w:r>
          </w:p>
        </w:tc>
        <w:tc>
          <w:tcPr>
            <w:tcW w:type="dxa" w:w="492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Automated execution of Systems Manager runbooks for VNF scaling and container migration (&lt;18s).</w:t>
            </w:r>
          </w:p>
        </w:tc>
      </w:tr>
      <w:tr>
        <w:tc>
          <w:tcPr>
            <w:tcW w:type="dxa" w:w="210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5. Operator Web Portal</w:t>
            </w:r>
          </w:p>
        </w:tc>
        <w:tc>
          <w:tcPr>
            <w:tcW w:type="dxa" w:w="234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AWS Amplify + CloudFront</w:t>
            </w:r>
          </w:p>
        </w:tc>
        <w:tc>
          <w:tcPr>
            <w:tcW w:type="dxa" w:w="492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Carrier NOC dashboard built in React 18 with D3.js Digital Twin topology and HITL approval dialogs.</w:t>
            </w:r>
          </w:p>
        </w:tc>
      </w:tr>
    </w:tbl>
    <w:p>
      <w:pPr>
        <w:spacing w:after="240"/>
      </w:pPr>
    </w:p>
    <w:p>
      <w:pPr>
        <w:pStyle w:val="Heading1"/>
        <w:spacing w:after="140" w:before="360"/>
      </w:pPr>
      <w:r>
        <w:rPr>
          <w:rFonts w:ascii="Calibri" w:cs="Calibri" w:eastAsia="Calibri" w:hAnsi="Calibri"/>
          <w:b/>
          <w:bCs/>
          <w:color w:val="1B365D"/>
          <w:sz w:val="28"/>
          <w:szCs w:val="28"/>
        </w:rPr>
        <w:t xml:space="preserve">8. Independent Work Distribution Plan for 3 Engineers</w:t>
      </w:r>
    </w:p>
    <w:p>
      <w:pPr>
        <w:spacing w:after="110" w:before="0" w:line="260"/>
      </w:pPr>
      <w:r>
        <w:rPr>
          <w:rFonts w:ascii="Calibri" w:cs="Calibri" w:eastAsia="Calibri" w:hAnsi="Calibri"/>
          <w:b w:val="false"/>
          <w:bCs w:val="false"/>
          <w:color w:val="222222"/>
          <w:sz w:val="21"/>
          <w:szCs w:val="21"/>
        </w:rPr>
        <w:t xml:space="preserve">To ensure flawless execution in a team setting, the project is strictly partitioned across three independent engineers. Each engineer owns distinct architectural layers and AWS resources. Crucially, all three developers work completely independently from Week 1 through Week 10, connecting their components only in Week 11 via frozen interface contracts.</w:t>
      </w:r>
    </w:p>
    <w:p>
      <w:pPr>
        <w:pStyle w:val="Heading2"/>
        <w:spacing w:after="100" w:before="240"/>
      </w:pPr>
      <w:r>
        <w:rPr>
          <w:rFonts w:ascii="Calibri" w:cs="Calibri" w:eastAsia="Calibri" w:hAnsi="Calibri"/>
          <w:b/>
          <w:bCs/>
          <w:color w:val="008080"/>
          <w:sz w:val="24"/>
          <w:szCs w:val="24"/>
        </w:rPr>
        <w:t xml:space="preserve">The Three Frozen Interface Contracts (Agreed at Week 0)</w:t>
      </w:r>
    </w:p>
    <w:p>
      <w:pPr>
        <w:pStyle w:val="ListParagraph"/>
        <w:numPr>
          <w:ilvl w:val="0"/>
          <w:numId w:val="1"/>
        </w:numPr>
        <w:spacing w:after="80" w:before="40" w:line="250"/>
      </w:pPr>
      <w:r>
        <w:rPr>
          <w:rFonts w:ascii="Calibri" w:cs="Calibri" w:eastAsia="Calibri" w:hAnsi="Calibri"/>
          <w:b/>
          <w:bCs/>
          <w:color w:val="1B365D"/>
          <w:sz w:val="20"/>
          <w:szCs w:val="20"/>
        </w:rPr>
        <w:t xml:space="preserve">Contract 1: Normalized Telemetry Schema: </w:t>
      </w:r>
      <w:r>
        <w:rPr>
          <w:rFonts w:ascii="Calibri" w:cs="Calibri" w:eastAsia="Calibri" w:hAnsi="Calibri"/>
          <w:color w:val="222222"/>
          <w:sz w:val="20"/>
          <w:szCs w:val="20"/>
        </w:rPr>
        <w:t xml:space="preserve">Person A produces normalized events in S3/Kafka. Persons B and C read this data without needing to know how Person A built the collectors.</w:t>
      </w:r>
    </w:p>
    <w:p>
      <w:pPr>
        <w:pStyle w:val="ListParagraph"/>
        <w:numPr>
          <w:ilvl w:val="0"/>
          <w:numId w:val="1"/>
        </w:numPr>
        <w:spacing w:after="80" w:before="40" w:line="250"/>
      </w:pPr>
      <w:r>
        <w:rPr>
          <w:rFonts w:ascii="Calibri" w:cs="Calibri" w:eastAsia="Calibri" w:hAnsi="Calibri"/>
          <w:b/>
          <w:bCs/>
          <w:color w:val="1B365D"/>
          <w:sz w:val="20"/>
          <w:szCs w:val="20"/>
        </w:rPr>
        <w:t xml:space="preserve">Contract 2: RCA Analysis API (POST /api/rca/analyze): </w:t>
      </w:r>
      <w:r>
        <w:rPr>
          <w:rFonts w:ascii="Calibri" w:cs="Calibri" w:eastAsia="Calibri" w:hAnsi="Calibri"/>
          <w:color w:val="222222"/>
          <w:sz w:val="20"/>
          <w:szCs w:val="20"/>
        </w:rPr>
        <w:t xml:space="preserve">Person B packages ML models into a SageMaker endpoint returning ranked root-cause components, anomaly scores, and ConfExp probe results. Person C mocks this endpoint during development.</w:t>
      </w:r>
    </w:p>
    <w:p>
      <w:pPr>
        <w:pStyle w:val="ListParagraph"/>
        <w:numPr>
          <w:ilvl w:val="0"/>
          <w:numId w:val="1"/>
        </w:numPr>
        <w:spacing w:after="80" w:before="40" w:line="250"/>
      </w:pPr>
      <w:r>
        <w:rPr>
          <w:rFonts w:ascii="Calibri" w:cs="Calibri" w:eastAsia="Calibri" w:hAnsi="Calibri"/>
          <w:b/>
          <w:bCs/>
          <w:color w:val="1B365D"/>
          <w:sz w:val="20"/>
          <w:szCs w:val="20"/>
        </w:rPr>
        <w:t xml:space="preserve">Contract 3: Agentic Diagnostics API (POST /api/rca/diagnose-and-remediate): </w:t>
      </w:r>
      <w:r>
        <w:rPr>
          <w:rFonts w:ascii="Calibri" w:cs="Calibri" w:eastAsia="Calibri" w:hAnsi="Calibri"/>
          <w:color w:val="222222"/>
          <w:sz w:val="20"/>
          <w:szCs w:val="20"/>
        </w:rPr>
        <w:t xml:space="preserve">Person C builds the multi-agent orchestrator, LASM liability engine, and React dashboard consuming Contract 2 outputs.</w:t>
      </w:r>
    </w:p>
    <w:p>
      <w:pPr>
        <w:pStyle w:val="Heading2"/>
        <w:spacing w:after="100" w:before="240"/>
      </w:pPr>
      <w:r>
        <w:rPr>
          <w:rFonts w:ascii="Calibri" w:cs="Calibri" w:eastAsia="Calibri" w:hAnsi="Calibri"/>
          <w:b/>
          <w:bCs/>
          <w:color w:val="008080"/>
          <w:sz w:val="24"/>
          <w:szCs w:val="24"/>
        </w:rPr>
        <w:t xml:space="preserve">Person A: Data Pipeline &amp; Infrastructure Engineer (Layers 1–2)</w:t>
      </w:r>
    </w:p>
    <w:p>
      <w:pPr>
        <w:spacing w:after="110" w:before="0" w:line="260"/>
      </w:pPr>
      <w:r>
        <w:rPr>
          <w:rFonts w:ascii="Calibri" w:cs="Calibri" w:eastAsia="Calibri" w:hAnsi="Calibri"/>
          <w:b w:val="false"/>
          <w:bCs w:val="false"/>
          <w:color w:val="222222"/>
          <w:sz w:val="21"/>
          <w:szCs w:val="21"/>
        </w:rPr>
        <w:t xml:space="preserve">Person A is responsible for the entire telemetry ingestion foundation:</w:t>
      </w:r>
    </w:p>
    <w:p>
      <w:pPr>
        <w:pStyle w:val="ListParagraph"/>
        <w:numPr>
          <w:ilvl w:val="0"/>
          <w:numId w:val="1"/>
        </w:numPr>
        <w:spacing w:after="80" w:before="40" w:line="250"/>
      </w:pPr>
      <w:r>
        <w:rPr>
          <w:rFonts w:ascii="Calibri" w:cs="Calibri" w:eastAsia="Calibri" w:hAnsi="Calibri"/>
          <w:b/>
          <w:bCs/>
          <w:color w:val="1B365D"/>
          <w:sz w:val="20"/>
          <w:szCs w:val="20"/>
        </w:rPr>
        <w:t xml:space="preserve">Infrastructure as Code: </w:t>
      </w:r>
      <w:r>
        <w:rPr>
          <w:rFonts w:ascii="Calibri" w:cs="Calibri" w:eastAsia="Calibri" w:hAnsi="Calibri"/>
          <w:color w:val="222222"/>
          <w:sz w:val="20"/>
          <w:szCs w:val="20"/>
        </w:rPr>
        <w:t xml:space="preserve">Provisions all AWS resources (MSK, Kinesis, Glue, S3, Timestream, OpenSearch, Neptune, DynamoDB, RDS pgvector) using Terraform or AWS CDK.</w:t>
      </w:r>
    </w:p>
    <w:p>
      <w:pPr>
        <w:pStyle w:val="ListParagraph"/>
        <w:numPr>
          <w:ilvl w:val="0"/>
          <w:numId w:val="1"/>
        </w:numPr>
        <w:spacing w:after="80" w:before="40" w:line="250"/>
      </w:pPr>
      <w:r>
        <w:rPr>
          <w:rFonts w:ascii="Calibri" w:cs="Calibri" w:eastAsia="Calibri" w:hAnsi="Calibri"/>
          <w:b/>
          <w:bCs/>
          <w:color w:val="1B365D"/>
          <w:sz w:val="20"/>
          <w:szCs w:val="20"/>
        </w:rPr>
        <w:t xml:space="preserve">Dataset Ingestion: </w:t>
      </w:r>
      <w:r>
        <w:rPr>
          <w:rFonts w:ascii="Calibri" w:cs="Calibri" w:eastAsia="Calibri" w:hAnsi="Calibri"/>
          <w:color w:val="222222"/>
          <w:sz w:val="20"/>
          <w:szCs w:val="20"/>
        </w:rPr>
        <w:t xml:space="preserve">Parses and loads the RCAEval (735 cases) and TN-RCA530 (530 telecom cases) benchmarks into S3.</w:t>
      </w:r>
    </w:p>
    <w:p>
      <w:pPr>
        <w:pStyle w:val="ListParagraph"/>
        <w:numPr>
          <w:ilvl w:val="0"/>
          <w:numId w:val="1"/>
        </w:numPr>
        <w:spacing w:after="80" w:before="40" w:line="250"/>
      </w:pPr>
      <w:r>
        <w:rPr>
          <w:rFonts w:ascii="Calibri" w:cs="Calibri" w:eastAsia="Calibri" w:hAnsi="Calibri"/>
          <w:b/>
          <w:bCs/>
          <w:color w:val="1B365D"/>
          <w:sz w:val="20"/>
          <w:szCs w:val="20"/>
        </w:rPr>
        <w:t xml:space="preserve">Hygiene &amp; SOMP Engines: </w:t>
      </w:r>
      <w:r>
        <w:rPr>
          <w:rFonts w:ascii="Calibri" w:cs="Calibri" w:eastAsia="Calibri" w:hAnsi="Calibri"/>
          <w:color w:val="222222"/>
          <w:sz w:val="20"/>
          <w:szCs w:val="20"/>
        </w:rPr>
        <w:t xml:space="preserve">Implements the 3-layer daily KPI filter (-88% to -91% volume) and SOMP counter reset safety module in AWS Glue and Lambda.</w:t>
      </w:r>
    </w:p>
    <w:p>
      <w:pPr>
        <w:pStyle w:val="ListParagraph"/>
        <w:numPr>
          <w:ilvl w:val="0"/>
          <w:numId w:val="1"/>
        </w:numPr>
        <w:spacing w:after="80" w:before="40" w:line="250"/>
      </w:pPr>
      <w:r>
        <w:rPr>
          <w:rFonts w:ascii="Calibri" w:cs="Calibri" w:eastAsia="Calibri" w:hAnsi="Calibri"/>
          <w:b/>
          <w:bCs/>
          <w:color w:val="1B365D"/>
          <w:sz w:val="20"/>
          <w:szCs w:val="20"/>
        </w:rPr>
        <w:t xml:space="preserve">PCAP &amp; MCP Servers: </w:t>
      </w:r>
      <w:r>
        <w:rPr>
          <w:rFonts w:ascii="Calibri" w:cs="Calibri" w:eastAsia="Calibri" w:hAnsi="Calibri"/>
          <w:color w:val="222222"/>
          <w:sz w:val="20"/>
          <w:szCs w:val="20"/>
        </w:rPr>
        <w:t xml:space="preserve">Builds the Wireshark JSON extraction pipeline and hosts the Model Context Protocol (MCP) server for live telemetry querying.</w:t>
      </w:r>
    </w:p>
    <w:p>
      <w:pPr>
        <w:pStyle w:val="Heading2"/>
        <w:spacing w:after="100" w:before="240"/>
      </w:pPr>
      <w:r>
        <w:rPr>
          <w:rFonts w:ascii="Calibri" w:cs="Calibri" w:eastAsia="Calibri" w:hAnsi="Calibri"/>
          <w:b/>
          <w:bCs/>
          <w:color w:val="008080"/>
          <w:sz w:val="24"/>
          <w:szCs w:val="24"/>
        </w:rPr>
        <w:t xml:space="preserve">Person B: ML/AI Engine &amp; Digital Twin Developer (Layers 3–4)</w:t>
      </w:r>
    </w:p>
    <w:p>
      <w:pPr>
        <w:spacing w:after="110" w:before="0" w:line="260"/>
      </w:pPr>
      <w:r>
        <w:rPr>
          <w:rFonts w:ascii="Calibri" w:cs="Calibri" w:eastAsia="Calibri" w:hAnsi="Calibri"/>
          <w:b w:val="false"/>
          <w:bCs w:val="false"/>
          <w:color w:val="222222"/>
          <w:sz w:val="21"/>
          <w:szCs w:val="21"/>
        </w:rPr>
        <w:t xml:space="preserve">Person B builds the quantitative detection and localization algorithms:</w:t>
      </w:r>
    </w:p>
    <w:p>
      <w:pPr>
        <w:pStyle w:val="ListParagraph"/>
        <w:numPr>
          <w:ilvl w:val="0"/>
          <w:numId w:val="1"/>
        </w:numPr>
        <w:spacing w:after="80" w:before="40" w:line="250"/>
      </w:pPr>
      <w:r>
        <w:rPr>
          <w:rFonts w:ascii="Calibri" w:cs="Calibri" w:eastAsia="Calibri" w:hAnsi="Calibri"/>
          <w:b/>
          <w:bCs/>
          <w:color w:val="1B365D"/>
          <w:sz w:val="20"/>
          <w:szCs w:val="20"/>
        </w:rPr>
        <w:t xml:space="preserve">Contamination Defense: </w:t>
      </w:r>
      <w:r>
        <w:rPr>
          <w:rFonts w:ascii="Calibri" w:cs="Calibri" w:eastAsia="Calibri" w:hAnsi="Calibri"/>
          <w:color w:val="222222"/>
          <w:sz w:val="20"/>
          <w:szCs w:val="20"/>
        </w:rPr>
        <w:t xml:space="preserve">Implements MNSUAD (DAGMM teacher + Transformer-MAE &amp; DevNet student) to guarantee robust localization despite 5% dirty data.</w:t>
      </w:r>
    </w:p>
    <w:p>
      <w:pPr>
        <w:pStyle w:val="ListParagraph"/>
        <w:numPr>
          <w:ilvl w:val="0"/>
          <w:numId w:val="1"/>
        </w:numPr>
        <w:spacing w:after="80" w:before="40" w:line="250"/>
      </w:pPr>
      <w:r>
        <w:rPr>
          <w:rFonts w:ascii="Calibri" w:cs="Calibri" w:eastAsia="Calibri" w:hAnsi="Calibri"/>
          <w:b/>
          <w:bCs/>
          <w:color w:val="1B365D"/>
          <w:sz w:val="20"/>
          <w:szCs w:val="20"/>
        </w:rPr>
        <w:t xml:space="preserve">5GC Dual-Autoencoders: </w:t>
      </w:r>
      <w:r>
        <w:rPr>
          <w:rFonts w:ascii="Calibri" w:cs="Calibri" w:eastAsia="Calibri" w:hAnsi="Calibri"/>
          <w:color w:val="222222"/>
          <w:sz w:val="20"/>
          <w:szCs w:val="20"/>
        </w:rPr>
        <w:t xml:space="preserve">Develops TeleGAN-Core (BiLSTM Dual-AE GAN) with critic reconstruction gap penalty.</w:t>
      </w:r>
    </w:p>
    <w:p>
      <w:pPr>
        <w:pStyle w:val="ListParagraph"/>
        <w:numPr>
          <w:ilvl w:val="0"/>
          <w:numId w:val="1"/>
        </w:numPr>
        <w:spacing w:after="80" w:before="40" w:line="250"/>
      </w:pPr>
      <w:r>
        <w:rPr>
          <w:rFonts w:ascii="Calibri" w:cs="Calibri" w:eastAsia="Calibri" w:hAnsi="Calibri"/>
          <w:b/>
          <w:bCs/>
          <w:color w:val="1B365D"/>
          <w:sz w:val="20"/>
          <w:szCs w:val="20"/>
        </w:rPr>
        <w:t xml:space="preserve">Digital Twin &amp; transGNN: </w:t>
      </w:r>
      <w:r>
        <w:rPr>
          <w:rFonts w:ascii="Calibri" w:cs="Calibri" w:eastAsia="Calibri" w:hAnsi="Calibri"/>
          <w:color w:val="222222"/>
          <w:sz w:val="20"/>
          <w:szCs w:val="20"/>
        </w:rPr>
        <w:t xml:space="preserve">Builds the DTFL 3-layer Digital Twin with synthetic fault injection and BERT-GCN localization.</w:t>
      </w:r>
    </w:p>
    <w:p>
      <w:pPr>
        <w:pStyle w:val="ListParagraph"/>
        <w:numPr>
          <w:ilvl w:val="0"/>
          <w:numId w:val="1"/>
        </w:numPr>
        <w:spacing w:after="80" w:before="40" w:line="250"/>
      </w:pPr>
      <w:r>
        <w:rPr>
          <w:rFonts w:ascii="Calibri" w:cs="Calibri" w:eastAsia="Calibri" w:hAnsi="Calibri"/>
          <w:b/>
          <w:bCs/>
          <w:color w:val="1B365D"/>
          <w:sz w:val="20"/>
          <w:szCs w:val="20"/>
        </w:rPr>
        <w:t xml:space="preserve">Deterministic PCAP &amp; Probing: </w:t>
      </w:r>
      <w:r>
        <w:rPr>
          <w:rFonts w:ascii="Calibri" w:cs="Calibri" w:eastAsia="Calibri" w:hAnsi="Calibri"/>
          <w:color w:val="222222"/>
          <w:sz w:val="20"/>
          <w:szCs w:val="20"/>
        </w:rPr>
        <w:t xml:space="preserve">Implements Golden Flow protocol state-machine verifiers and ConfExp active probing test selection.</w:t>
      </w:r>
    </w:p>
    <w:p>
      <w:pPr>
        <w:pStyle w:val="ListParagraph"/>
        <w:numPr>
          <w:ilvl w:val="0"/>
          <w:numId w:val="1"/>
        </w:numPr>
        <w:spacing w:after="80" w:before="40" w:line="250"/>
      </w:pPr>
      <w:r>
        <w:rPr>
          <w:rFonts w:ascii="Calibri" w:cs="Calibri" w:eastAsia="Calibri" w:hAnsi="Calibri"/>
          <w:b/>
          <w:bCs/>
          <w:color w:val="1B365D"/>
          <w:sz w:val="20"/>
          <w:szCs w:val="20"/>
        </w:rPr>
        <w:t xml:space="preserve">SageMaker Deployment: </w:t>
      </w:r>
      <w:r>
        <w:rPr>
          <w:rFonts w:ascii="Calibri" w:cs="Calibri" w:eastAsia="Calibri" w:hAnsi="Calibri"/>
          <w:color w:val="222222"/>
          <w:sz w:val="20"/>
          <w:szCs w:val="20"/>
        </w:rPr>
        <w:t xml:space="preserve">Packages all models behind the Contract 2 API endpoint on Amazon SageMaker.</w:t>
      </w:r>
    </w:p>
    <w:p>
      <w:pPr>
        <w:pStyle w:val="Heading2"/>
        <w:spacing w:after="100" w:before="240"/>
      </w:pPr>
      <w:r>
        <w:rPr>
          <w:rFonts w:ascii="Calibri" w:cs="Calibri" w:eastAsia="Calibri" w:hAnsi="Calibri"/>
          <w:b/>
          <w:bCs/>
          <w:color w:val="008080"/>
          <w:sz w:val="24"/>
          <w:szCs w:val="24"/>
        </w:rPr>
        <w:t xml:space="preserve">Person C: Governed Agentic AI, SLA Liability, &amp; Dashboard Developer (Layers 4–5)</w:t>
      </w:r>
    </w:p>
    <w:p>
      <w:pPr>
        <w:spacing w:after="110" w:before="0" w:line="260"/>
      </w:pPr>
      <w:r>
        <w:rPr>
          <w:rFonts w:ascii="Calibri" w:cs="Calibri" w:eastAsia="Calibri" w:hAnsi="Calibri"/>
          <w:b w:val="false"/>
          <w:bCs w:val="false"/>
          <w:color w:val="222222"/>
          <w:sz w:val="21"/>
          <w:szCs w:val="21"/>
        </w:rPr>
        <w:t xml:space="preserve">Person C builds the agentic cognitive layer and operator portal:</w:t>
      </w:r>
    </w:p>
    <w:p>
      <w:pPr>
        <w:pStyle w:val="ListParagraph"/>
        <w:numPr>
          <w:ilvl w:val="0"/>
          <w:numId w:val="1"/>
        </w:numPr>
        <w:spacing w:after="80" w:before="40" w:line="250"/>
      </w:pPr>
      <w:r>
        <w:rPr>
          <w:rFonts w:ascii="Calibri" w:cs="Calibri" w:eastAsia="Calibri" w:hAnsi="Calibri"/>
          <w:b/>
          <w:bCs/>
          <w:color w:val="1B365D"/>
          <w:sz w:val="20"/>
          <w:szCs w:val="20"/>
        </w:rPr>
        <w:t xml:space="preserve">TAIA Multi-Agent Orchestrator: </w:t>
      </w:r>
      <w:r>
        <w:rPr>
          <w:rFonts w:ascii="Calibri" w:cs="Calibri" w:eastAsia="Calibri" w:hAnsi="Calibri"/>
          <w:color w:val="222222"/>
          <w:sz w:val="20"/>
          <w:szCs w:val="20"/>
        </w:rPr>
        <w:t xml:space="preserve">Implements modular cognitive decomposition into infrastructure, CNF lifecycle, and observability agents.</w:t>
      </w:r>
    </w:p>
    <w:p>
      <w:pPr>
        <w:pStyle w:val="ListParagraph"/>
        <w:numPr>
          <w:ilvl w:val="0"/>
          <w:numId w:val="1"/>
        </w:numPr>
        <w:spacing w:after="80" w:before="40" w:line="250"/>
      </w:pPr>
      <w:r>
        <w:rPr>
          <w:rFonts w:ascii="Calibri" w:cs="Calibri" w:eastAsia="Calibri" w:hAnsi="Calibri"/>
          <w:b/>
          <w:bCs/>
          <w:color w:val="1B365D"/>
          <w:sz w:val="20"/>
          <w:szCs w:val="20"/>
        </w:rPr>
        <w:t xml:space="preserve">NFVAgent RAG Pipeline: </w:t>
      </w:r>
      <w:r>
        <w:rPr>
          <w:rFonts w:ascii="Calibri" w:cs="Calibri" w:eastAsia="Calibri" w:hAnsi="Calibri"/>
          <w:color w:val="222222"/>
          <w:sz w:val="20"/>
          <w:szCs w:val="20"/>
        </w:rPr>
        <w:t xml:space="preserve">Indexes ETSI NFV-MANO operational guidelines and vendor SOPs in pgvector for grounded incident retrieval.</w:t>
      </w:r>
    </w:p>
    <w:p>
      <w:pPr>
        <w:pStyle w:val="ListParagraph"/>
        <w:numPr>
          <w:ilvl w:val="0"/>
          <w:numId w:val="1"/>
        </w:numPr>
        <w:spacing w:after="80" w:before="40" w:line="250"/>
      </w:pPr>
      <w:r>
        <w:rPr>
          <w:rFonts w:ascii="Calibri" w:cs="Calibri" w:eastAsia="Calibri" w:hAnsi="Calibri"/>
          <w:b/>
          <w:bCs/>
          <w:color w:val="1B365D"/>
          <w:sz w:val="20"/>
          <w:szCs w:val="20"/>
        </w:rPr>
        <w:t xml:space="preserve">TN-AutoRCA Meta-Agent: </w:t>
      </w:r>
      <w:r>
        <w:rPr>
          <w:rFonts w:ascii="Calibri" w:cs="Calibri" w:eastAsia="Calibri" w:hAnsi="Calibri"/>
          <w:color w:val="222222"/>
          <w:sz w:val="20"/>
          <w:szCs w:val="20"/>
        </w:rPr>
        <w:t xml:space="preserve">Develops the evaluate-analyze-repair agentic loop synthesizing executable graph-traversal code on TN-RCA530.</w:t>
      </w:r>
    </w:p>
    <w:p>
      <w:pPr>
        <w:pStyle w:val="ListParagraph"/>
        <w:numPr>
          <w:ilvl w:val="0"/>
          <w:numId w:val="1"/>
        </w:numPr>
        <w:spacing w:after="80" w:before="40" w:line="250"/>
      </w:pPr>
      <w:r>
        <w:rPr>
          <w:rFonts w:ascii="Calibri" w:cs="Calibri" w:eastAsia="Calibri" w:hAnsi="Calibri"/>
          <w:b/>
          <w:bCs/>
          <w:color w:val="1B365D"/>
          <w:sz w:val="20"/>
          <w:szCs w:val="20"/>
        </w:rPr>
        <w:t xml:space="preserve">Safety &amp; LASM Engines: </w:t>
      </w:r>
      <w:r>
        <w:rPr>
          <w:rFonts w:ascii="Calibri" w:cs="Calibri" w:eastAsia="Calibri" w:hAnsi="Calibri"/>
          <w:color w:val="222222"/>
          <w:sz w:val="20"/>
          <w:szCs w:val="20"/>
        </w:rPr>
        <w:t xml:space="preserve">Enforces AGORA state-estimation-before-actuation compliance and implements LASM dynamic trust scoring and 10%-30% MRC SLA penalties.</w:t>
      </w:r>
    </w:p>
    <w:p>
      <w:pPr>
        <w:pStyle w:val="ListParagraph"/>
        <w:numPr>
          <w:ilvl w:val="0"/>
          <w:numId w:val="1"/>
        </w:numPr>
        <w:spacing w:after="80" w:before="40" w:line="250"/>
      </w:pPr>
      <w:r>
        <w:rPr>
          <w:rFonts w:ascii="Calibri" w:cs="Calibri" w:eastAsia="Calibri" w:hAnsi="Calibri"/>
          <w:b/>
          <w:bCs/>
          <w:color w:val="1B365D"/>
          <w:sz w:val="20"/>
          <w:szCs w:val="20"/>
        </w:rPr>
        <w:t xml:space="preserve">Operator Portal: </w:t>
      </w:r>
      <w:r>
        <w:rPr>
          <w:rFonts w:ascii="Calibri" w:cs="Calibri" w:eastAsia="Calibri" w:hAnsi="Calibri"/>
          <w:color w:val="222222"/>
          <w:sz w:val="20"/>
          <w:szCs w:val="20"/>
        </w:rPr>
        <w:t xml:space="preserve">Builds the React 18 / Amplify web dashboard featuring D3.js Digital Twin topology views, SHAP waterfall charts, and HITL approval dialogs.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560"/>
        <w:gridCol w:w="2600"/>
        <w:gridCol w:w="2600"/>
        <w:gridCol w:w="2600"/>
      </w:tblGrid>
      <w:tr>
        <w:tc>
          <w:tcPr>
            <w:tcW w:type="dxa" w:w="156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Milestone Week</w:t>
            </w:r>
          </w:p>
        </w:tc>
        <w:tc>
          <w:tcPr>
            <w:tcW w:type="dxa" w:w="260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Person A: Data Pipeline &amp; Infra</w:t>
            </w:r>
          </w:p>
        </w:tc>
        <w:tc>
          <w:tcPr>
            <w:tcW w:type="dxa" w:w="260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Person B: ML &amp; Digital Twin</w:t>
            </w:r>
          </w:p>
        </w:tc>
        <w:tc>
          <w:tcPr>
            <w:tcW w:type="dxa" w:w="260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Person C: Agentic AI &amp; Dashboard</w:t>
            </w:r>
          </w:p>
        </w:tc>
      </w:tr>
      <w:tr>
        <w:tc>
          <w:tcPr>
            <w:tcW w:type="dxa" w:w="156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Weeks 1-2</w:t>
            </w:r>
          </w:p>
        </w:tc>
        <w:tc>
          <w:tcPr>
            <w:tcW w:type="dxa" w:w="26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Terraform AWS setup; RCAEval &amp; TN-RCA530 ingestion to S3.</w:t>
            </w:r>
          </w:p>
        </w:tc>
        <w:tc>
          <w:tcPr>
            <w:tcW w:type="dxa" w:w="26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EDA on benchmarks; multi-modal feature engineering.</w:t>
            </w:r>
          </w:p>
        </w:tc>
        <w:tc>
          <w:tcPr>
            <w:tcW w:type="dxa" w:w="26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Bedrock setup; domain rules knowledge base; mock APIs.</w:t>
            </w:r>
          </w:p>
        </w:tc>
      </w:tr>
      <w:tr>
        <w:tc>
          <w:tcPr>
            <w:tcW w:type="dxa" w:w="156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Weeks 3-4</w:t>
            </w:r>
          </w:p>
        </w:tc>
        <w:tc>
          <w:tcPr>
            <w:tcW w:type="dxa" w:w="26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Ingest Vodafone NFV &amp; ENCQOR 5G; build 3-layer KPI filter.</w:t>
            </w:r>
          </w:p>
        </w:tc>
        <w:tc>
          <w:tcPr>
            <w:tcW w:type="dxa" w:w="26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MNSUAD teacher-student training; TeleGAN-Core BiLSTM GAN.</w:t>
            </w:r>
          </w:p>
        </w:tc>
        <w:tc>
          <w:tcPr>
            <w:tcW w:type="dxa" w:w="26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NFVAgent RAG pipeline; TN-AutoRCA code-synthesis loop.</w:t>
            </w:r>
          </w:p>
        </w:tc>
      </w:tr>
      <w:tr>
        <w:tc>
          <w:tcPr>
            <w:tcW w:type="dxa" w:w="156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Weeks 5-6</w:t>
            </w:r>
          </w:p>
        </w:tc>
        <w:tc>
          <w:tcPr>
            <w:tcW w:type="dxa" w:w="26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SOMP reset normalizer; Wireshark PCAP JSON extractor.</w:t>
            </w:r>
          </w:p>
        </w:tc>
        <w:tc>
          <w:tcPr>
            <w:tcW w:type="dxa" w:w="26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Golden Flow state verifier; DTFL Digital Twin &amp; transGNN.</w:t>
            </w:r>
          </w:p>
        </w:tc>
        <w:tc>
          <w:tcPr>
            <w:tcW w:type="dxa" w:w="26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AGORA compliance interceptor; LASM SLA liability engine.</w:t>
            </w:r>
          </w:p>
        </w:tc>
      </w:tr>
      <w:tr>
        <w:tc>
          <w:tcPr>
            <w:tcW w:type="dxa" w:w="156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Weeks 7-8</w:t>
            </w:r>
          </w:p>
        </w:tc>
        <w:tc>
          <w:tcPr>
            <w:tcW w:type="dxa" w:w="26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Neptune graph loader; Model Context Protocol (MCP) server.</w:t>
            </w:r>
          </w:p>
        </w:tc>
        <w:tc>
          <w:tcPr>
            <w:tcW w:type="dxa" w:w="26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Dual-Branch CNN-Transformer; ConfExp active probing engine.</w:t>
            </w:r>
          </w:p>
        </w:tc>
        <w:tc>
          <w:tcPr>
            <w:tcW w:type="dxa" w:w="26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Step Functions state machine; React dashboard v1.</w:t>
            </w:r>
          </w:p>
        </w:tc>
      </w:tr>
      <w:tr>
        <w:tc>
          <w:tcPr>
            <w:tcW w:type="dxa" w:w="156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Weeks 9-10</w:t>
            </w:r>
          </w:p>
        </w:tc>
        <w:tc>
          <w:tcPr>
            <w:tcW w:type="dxa" w:w="26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RDS pgvector SOP loading; publish shared datasets to S3.</w:t>
            </w:r>
          </w:p>
        </w:tc>
        <w:tc>
          <w:tcPr>
            <w:tcW w:type="dxa" w:w="26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XAI attribution engine (SHAP); SageMaker Contract 2 endpoint.</w:t>
            </w:r>
          </w:p>
        </w:tc>
        <w:tc>
          <w:tcPr>
            <w:tcW w:type="dxa" w:w="26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Dashboard v2 (D3.js graph, SHAP); HITL modal &amp; runbooks.</w:t>
            </w:r>
          </w:p>
        </w:tc>
      </w:tr>
      <w:tr>
        <w:tc>
          <w:tcPr>
            <w:tcW w:type="dxa" w:w="156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Week 11</w:t>
            </w:r>
          </w:p>
        </w:tc>
        <w:tc>
          <w:tcPr>
            <w:tcW w:type="dxa" w:w="26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Cross-Team Integration Sprint: Connect live data lake to SageMaker and Step Functions. End-to-end multi-fault testing.</w:t>
            </w:r>
          </w:p>
        </w:tc>
        <w:tc>
          <w:tcPr>
            <w:tcW w:type="dxa" w:w="26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
            </w:r>
          </w:p>
        </w:tc>
        <w:tc>
          <w:tcPr>
            <w:tcW w:type="dxa" w:w="26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
            </w:r>
          </w:p>
        </w:tc>
      </w:tr>
      <w:tr>
        <w:tc>
          <w:tcPr>
            <w:tcW w:type="dxa" w:w="156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Week 12</w:t>
            </w:r>
          </w:p>
        </w:tc>
        <w:tc>
          <w:tcPr>
            <w:tcW w:type="dxa" w:w="26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Final live carrier demonstration; benchmark verification; cost optimization and technical handover package.</w:t>
            </w:r>
          </w:p>
        </w:tc>
        <w:tc>
          <w:tcPr>
            <w:tcW w:type="dxa" w:w="26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
            </w:r>
          </w:p>
        </w:tc>
        <w:tc>
          <w:tcPr>
            <w:tcW w:type="dxa" w:w="26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
            </w:r>
          </w:p>
        </w:tc>
      </w:tr>
    </w:tbl>
    <w:p>
      <w:pPr>
        <w:spacing w:after="240"/>
      </w:pPr>
    </w:p>
    <w:p>
      <w:pPr>
        <w:pStyle w:val="Heading1"/>
        <w:spacing w:after="140" w:before="360"/>
      </w:pPr>
      <w:r>
        <w:rPr>
          <w:rFonts w:ascii="Calibri" w:cs="Calibri" w:eastAsia="Calibri" w:hAnsi="Calibri"/>
          <w:b/>
          <w:bCs/>
          <w:color w:val="1B365D"/>
          <w:sz w:val="28"/>
          <w:szCs w:val="28"/>
        </w:rPr>
        <w:t xml:space="preserve">9. Quantitative Evaluation Targets &amp; Benchmark Validation</w:t>
      </w:r>
    </w:p>
    <w:p>
      <w:pPr>
        <w:spacing w:after="110" w:before="0" w:line="260"/>
      </w:pPr>
      <w:r>
        <w:rPr>
          <w:rFonts w:ascii="Calibri" w:cs="Calibri" w:eastAsia="Calibri" w:hAnsi="Calibri"/>
          <w:b w:val="false"/>
          <w:bCs w:val="false"/>
          <w:color w:val="222222"/>
          <w:sz w:val="21"/>
          <w:szCs w:val="21"/>
        </w:rPr>
        <w:t xml:space="preserve">To verify that the system meets carrier-grade production standards, the framework is benchmarked across two complementary test suites: RCAEval (735 microservice failure cases) and TN-RCA530 (530 real telecom base station scenarios, 94.5% Difficult).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100"/>
        <w:gridCol w:w="4460"/>
      </w:tblGrid>
      <w:tr>
        <w:tc>
          <w:tcPr>
            <w:tcW w:type="dxa" w:w="280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Evaluation Metric</w:t>
            </w:r>
          </w:p>
        </w:tc>
        <w:tc>
          <w:tcPr>
            <w:tcW w:type="dxa" w:w="210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Target Threshold</w:t>
            </w:r>
          </w:p>
        </w:tc>
        <w:tc>
          <w:tcPr>
            <w:tcW w:type="dxa" w:w="446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Benchmark &amp; Research Grounding</w:t>
            </w:r>
          </w:p>
        </w:tc>
      </w:tr>
      <w:tr>
        <w:tc>
          <w:tcPr>
            <w:tcW w:type="dxa" w:w="280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TN-RCA530 RCA F1-Score</w:t>
            </w:r>
          </w:p>
        </w:tc>
        <w:tc>
          <w:tcPr>
            <w:tcW w:type="dxa" w:w="21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&gt;= 90.0% (Harmonic Mean)</w:t>
            </w:r>
          </w:p>
        </w:tc>
        <w:tc>
          <w:tcPr>
            <w:tcW w:type="dxa" w:w="446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Elevates Gemini-2.5-Pro from 58.99% baseline; Qwen3-235B from 62.54% (Paper 7).</w:t>
            </w:r>
          </w:p>
        </w:tc>
      </w:tr>
      <w:tr>
        <w:tc>
          <w:tcPr>
            <w:tcW w:type="dxa" w:w="280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RCAEval Top-1 Accuracy</w:t>
            </w:r>
          </w:p>
        </w:tc>
        <w:tc>
          <w:tcPr>
            <w:tcW w:type="dxa" w:w="21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&gt;= 82.0%</w:t>
            </w:r>
          </w:p>
        </w:tc>
        <w:tc>
          <w:tcPr>
            <w:tcW w:type="dxa" w:w="446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Leave-one-system-out cross-validation across 735 microservice incidents (WWW 2025).</w:t>
            </w:r>
          </w:p>
        </w:tc>
      </w:tr>
      <w:tr>
        <w:tc>
          <w:tcPr>
            <w:tcW w:type="dxa" w:w="280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RCAEval Top-3 / Top-5 Accuracy</w:t>
            </w:r>
          </w:p>
        </w:tc>
        <w:tc>
          <w:tcPr>
            <w:tcW w:type="dxa" w:w="21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&gt;= 92.0% (Top-3) / &gt;= 96.0% (Top-5)</w:t>
            </w:r>
          </w:p>
        </w:tc>
        <w:tc>
          <w:tcPr>
            <w:tcW w:type="dxa" w:w="446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Evaluates candidate ranking accuracy for cascading microservice failures.</w:t>
            </w:r>
          </w:p>
        </w:tc>
      </w:tr>
      <w:tr>
        <w:tc>
          <w:tcPr>
            <w:tcW w:type="dxa" w:w="280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Mean Reciprocal Rank (MRR)</w:t>
            </w:r>
          </w:p>
        </w:tc>
        <w:tc>
          <w:tcPr>
            <w:tcW w:type="dxa" w:w="21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&gt;= 0.88</w:t>
            </w:r>
          </w:p>
        </w:tc>
        <w:tc>
          <w:tcPr>
            <w:tcW w:type="dxa" w:w="446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Quantifies ranking quality across multi-tier microservice graphs.</w:t>
            </w:r>
          </w:p>
        </w:tc>
      </w:tr>
      <w:tr>
        <w:tc>
          <w:tcPr>
            <w:tcW w:type="dxa" w:w="280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Mean Average Precision (MAP@5)</w:t>
            </w:r>
          </w:p>
        </w:tc>
        <w:tc>
          <w:tcPr>
            <w:tcW w:type="dxa" w:w="21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&gt;= 0.85</w:t>
            </w:r>
          </w:p>
        </w:tc>
        <w:tc>
          <w:tcPr>
            <w:tcW w:type="dxa" w:w="446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Measures localization precision on multi-fault and overlapping failure modes.</w:t>
            </w:r>
          </w:p>
        </w:tc>
      </w:tr>
      <w:tr>
        <w:tc>
          <w:tcPr>
            <w:tcW w:type="dxa" w:w="280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5GC PCAP Signaling Accuracy</w:t>
            </w:r>
          </w:p>
        </w:tc>
        <w:tc>
          <w:tcPr>
            <w:tcW w:type="dxa" w:w="21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100.0%</w:t>
            </w:r>
          </w:p>
        </w:tc>
        <w:tc>
          <w:tcPr>
            <w:tcW w:type="dxa" w:w="446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Golden Flow + Protocol-Grouped SVM on Registration and PDU Session call flows (Paper 11).</w:t>
            </w:r>
          </w:p>
        </w:tc>
      </w:tr>
      <w:tr>
        <w:tc>
          <w:tcPr>
            <w:tcW w:type="dxa" w:w="280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Contamination Robustness</w:t>
            </w:r>
          </w:p>
        </w:tc>
        <w:tc>
          <w:tcPr>
            <w:tcW w:type="dxa" w:w="21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&gt;= +20.0% F1 Gain</w:t>
            </w:r>
          </w:p>
        </w:tc>
        <w:tc>
          <w:tcPr>
            <w:tcW w:type="dxa" w:w="446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MNSUAD vs. standard unsupervised autoencoders under 5% unlabeled dirty data (Paper 1).</w:t>
            </w:r>
          </w:p>
        </w:tc>
      </w:tr>
      <w:tr>
        <w:tc>
          <w:tcPr>
            <w:tcW w:type="dxa" w:w="280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Digital Twin Accuracy Gain</w:t>
            </w:r>
          </w:p>
        </w:tc>
        <w:tc>
          <w:tcPr>
            <w:tcW w:type="dxa" w:w="21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&gt;= +12.0%</w:t>
            </w:r>
          </w:p>
        </w:tc>
        <w:tc>
          <w:tcPr>
            <w:tcW w:type="dxa" w:w="446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DTFL transGNN vs. non-twin models on dynamic Service Function Chains (Paper 2).</w:t>
            </w:r>
          </w:p>
        </w:tc>
      </w:tr>
      <w:tr>
        <w:tc>
          <w:tcPr>
            <w:tcW w:type="dxa" w:w="280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Daily Telemetry Compression</w:t>
            </w:r>
          </w:p>
        </w:tc>
        <w:tc>
          <w:tcPr>
            <w:tcW w:type="dxa" w:w="21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&gt;= 88.0% Volume Reduction</w:t>
            </w:r>
          </w:p>
        </w:tc>
        <w:tc>
          <w:tcPr>
            <w:tcW w:type="dxa" w:w="446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Shannon entropy + stochastic decomposition + cross-correlation filtering (IEEE ISCC 2025).</w:t>
            </w:r>
          </w:p>
        </w:tc>
      </w:tr>
      <w:tr>
        <w:tc>
          <w:tcPr>
            <w:tcW w:type="dxa" w:w="280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MCP Tool Extraction Accuracy</w:t>
            </w:r>
          </w:p>
        </w:tc>
        <w:tc>
          <w:tcPr>
            <w:tcW w:type="dxa" w:w="21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100.0% (&lt;0.9% Latency Overhead)</w:t>
            </w:r>
          </w:p>
        </w:tc>
        <w:tc>
          <w:tcPr>
            <w:tcW w:type="dxa" w:w="446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Model Context Protocol interface test suite across 150 incidents (Paper 14).</w:t>
            </w:r>
          </w:p>
        </w:tc>
      </w:tr>
      <w:tr>
        <w:tc>
          <w:tcPr>
            <w:tcW w:type="dxa" w:w="280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Automated Self-Healing Time</w:t>
            </w:r>
          </w:p>
        </w:tc>
        <w:tc>
          <w:tcPr>
            <w:tcW w:type="dxa" w:w="21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&lt; 18 Seconds</w:t>
            </w:r>
          </w:p>
        </w:tc>
        <w:tc>
          <w:tcPr>
            <w:tcW w:type="dxa" w:w="446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Automated VNF scaling and NSM path switching via AWS Systems Manager (IJSEA 2025).</w:t>
            </w:r>
          </w:p>
        </w:tc>
      </w:tr>
      <w:tr>
        <w:tc>
          <w:tcPr>
            <w:tcW w:type="dxa" w:w="280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Mean Time to Repair (MTTR) Reduction</w:t>
            </w:r>
          </w:p>
        </w:tc>
        <w:tc>
          <w:tcPr>
            <w:tcW w:type="dxa" w:w="21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&gt;= 70.0% Reduction</w:t>
            </w:r>
          </w:p>
        </w:tc>
        <w:tc>
          <w:tcPr>
            <w:tcW w:type="dxa" w:w="446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Reduces total outage downtime from hours to minutes compared to manual triage.</w:t>
            </w:r>
          </w:p>
        </w:tc>
      </w:tr>
    </w:tbl>
    <w:p>
      <w:pPr>
        <w:spacing w:after="240"/>
      </w:pPr>
    </w:p>
    <w:p>
      <w:pPr>
        <w:pStyle w:val="Heading1"/>
        <w:spacing w:after="140" w:before="360"/>
      </w:pPr>
      <w:r>
        <w:rPr>
          <w:rFonts w:ascii="Calibri" w:cs="Calibri" w:eastAsia="Calibri" w:hAnsi="Calibri"/>
          <w:b/>
          <w:bCs/>
          <w:color w:val="1B365D"/>
          <w:sz w:val="28"/>
          <w:szCs w:val="28"/>
        </w:rPr>
        <w:t xml:space="preserve">10. Operator-Grade Production Deployment Blueprint</w:t>
      </w:r>
    </w:p>
    <w:p>
      <w:pPr>
        <w:spacing w:after="110" w:before="0" w:line="260"/>
      </w:pPr>
      <w:r>
        <w:rPr>
          <w:rFonts w:ascii="Calibri" w:cs="Calibri" w:eastAsia="Calibri" w:hAnsi="Calibri"/>
          <w:b w:val="false"/>
          <w:bCs w:val="false"/>
          <w:color w:val="222222"/>
          <w:sz w:val="21"/>
          <w:szCs w:val="21"/>
        </w:rPr>
        <w:t xml:space="preserve">To transition from laboratory evaluation to resilient, zero-touch network operations in 5G-Advanced and 6G networks, telecommunication operators and cloud architects should deploy the framework according to the four-stage reference pipeline summarized in Table 6.</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2800"/>
        <w:gridCol w:w="2300"/>
        <w:gridCol w:w="2160"/>
      </w:tblGrid>
      <w:tr>
        <w:tc>
          <w:tcPr>
            <w:tcW w:type="dxa" w:w="210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Reference Pipeline Stage</w:t>
            </w:r>
          </w:p>
        </w:tc>
        <w:tc>
          <w:tcPr>
            <w:tcW w:type="dxa" w:w="280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Core Architectural Components</w:t>
            </w:r>
          </w:p>
        </w:tc>
        <w:tc>
          <w:tcPr>
            <w:tcW w:type="dxa" w:w="230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Target Telecom Telemetry &amp; Interfaces</w:t>
            </w:r>
          </w:p>
        </w:tc>
        <w:tc>
          <w:tcPr>
            <w:tcW w:type="dxa" w:w="2160"/>
            <w:shd w:fill="1B365D"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Expected Carrier Operational Impact</w:t>
            </w:r>
          </w:p>
        </w:tc>
      </w:tr>
      <w:tr>
        <w:tc>
          <w:tcPr>
            <w:tcW w:type="dxa" w:w="210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Stage 1: Telemetry Hygiene &amp; SOMP</w:t>
            </w:r>
          </w:p>
        </w:tc>
        <w:tc>
          <w:tcPr>
            <w:tcW w:type="dxa" w:w="28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3-layer daily KPI filter (entropy tau1=0.05, correlation tau3=0.95) + SOMP delta normalizer.</w:t>
            </w:r>
          </w:p>
        </w:tc>
        <w:tc>
          <w:tcPr>
            <w:tcW w:type="dxa" w:w="23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3GPP NWDAF, Prometheus ingestion edge, and 5GC PM counters/gauges.</w:t>
            </w:r>
          </w:p>
        </w:tc>
        <w:tc>
          <w:tcPr>
            <w:tcW w:type="dxa" w:w="216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Eliminates 88.97%-91.40% of redundant metric volume while guaranteeing counter reset safety.</w:t>
            </w:r>
          </w:p>
        </w:tc>
      </w:tr>
      <w:tr>
        <w:tc>
          <w:tcPr>
            <w:tcW w:type="dxa" w:w="210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Stage 2: Contamination-Aware Detection</w:t>
            </w:r>
          </w:p>
        </w:tc>
        <w:tc>
          <w:tcPr>
            <w:tcW w:type="dxa" w:w="28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Weakly-supervised MNSUAD (MAE-DevNet), TeleGAN-Core Dual-AE GAN, &amp; Golden Flow PCAP verifier.</w:t>
            </w:r>
          </w:p>
        </w:tc>
        <w:tc>
          <w:tcPr>
            <w:tcW w:type="dxa" w:w="23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Multi-datacenter VNF metrics, 5GC SBA telemetry, and Wireshark JSON signaling traces.</w:t>
            </w:r>
          </w:p>
        </w:tc>
        <w:tc>
          <w:tcPr>
            <w:tcW w:type="dxa" w:w="216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100% PCAP signaling fault detection and +20% to +22% F1 gain under 5% data contamination.</w:t>
            </w:r>
          </w:p>
        </w:tc>
      </w:tr>
      <w:tr>
        <w:tc>
          <w:tcPr>
            <w:tcW w:type="dxa" w:w="2100"/>
            <w:shd w:fill="FFFFFF"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Stage 3: Topological &amp; Active Disambiguation</w:t>
            </w:r>
          </w:p>
        </w:tc>
        <w:tc>
          <w:tcPr>
            <w:tcW w:type="dxa" w:w="28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Digital Twin transGNN + BDF-FL (DTFL), Spatio-Temporal GNN, &amp; ConfExp active diagnostic probing.</w:t>
            </w:r>
          </w:p>
        </w:tc>
        <w:tc>
          <w:tcPr>
            <w:tcW w:type="dxa" w:w="230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NFV Service Function Chains (SFC), microservice dependency graphs, and DNS/firewall/routing CVs.</w:t>
            </w:r>
          </w:p>
        </w:tc>
        <w:tc>
          <w:tcPr>
            <w:tcW w:type="dxa" w:w="2160"/>
            <w:shd w:fill="FFFFFF"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+13% SFC RCA accuracy over non-twin baselines and deterministic isolation of residual misconfigurations.</w:t>
            </w:r>
          </w:p>
        </w:tc>
      </w:tr>
      <w:tr>
        <w:tc>
          <w:tcPr>
            <w:tcW w:type="dxa" w:w="2100"/>
            <w:shd w:fill="F1F5F9" w:val="clear"/>
            <w:tcMar>
              <w:top w:type="dxa" w:w="90"/>
              <w:left w:type="dxa" w:w="120"/>
              <w:bottom w:type="dxa" w:w="90"/>
              <w:right w:type="dxa" w:w="120"/>
            </w:tcMar>
          </w:tcPr>
          <w:p>
            <w:pPr>
              <w:jc w:val="left"/>
            </w:pPr>
            <w:r>
              <w:rPr>
                <w:rFonts w:ascii="Calibri" w:cs="Calibri" w:eastAsia="Calibri" w:hAnsi="Calibri"/>
                <w:b/>
                <w:bCs/>
                <w:color w:val="222222"/>
                <w:sz w:val="18"/>
                <w:szCs w:val="18"/>
              </w:rPr>
              <w:t xml:space="preserve">Stage 4: Governed Agentic Remediation</w:t>
            </w:r>
          </w:p>
        </w:tc>
        <w:tc>
          <w:tcPr>
            <w:tcW w:type="dxa" w:w="28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TN-AutoRCA code-synthesis loop + TAIA/NFVAgent RAG assistants over MCP &amp; LASM SLA liability.</w:t>
            </w:r>
          </w:p>
        </w:tc>
        <w:tc>
          <w:tcPr>
            <w:tcW w:type="dxa" w:w="230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Kubernetes APIs, ETSI NFV-MANO, SDN controllers, and multi-actor SLA contracts.</w:t>
            </w:r>
          </w:p>
        </w:tc>
        <w:tc>
          <w:tcPr>
            <w:tcW w:type="dxa" w:w="2160"/>
            <w:shd w:fill="F1F5F9" w:val="clear"/>
            <w:tcMar>
              <w:top w:type="dxa" w:w="90"/>
              <w:left w:type="dxa" w:w="120"/>
              <w:bottom w:type="dxa" w:w="90"/>
              <w:right w:type="dxa" w:w="120"/>
            </w:tcMar>
          </w:tcPr>
          <w:p>
            <w:pPr>
              <w:jc w:val="left"/>
            </w:pPr>
            <w:r>
              <w:rPr>
                <w:rFonts w:ascii="Calibri" w:cs="Calibri" w:eastAsia="Calibri" w:hAnsi="Calibri"/>
                <w:b w:val="false"/>
                <w:bCs w:val="false"/>
                <w:color w:val="222222"/>
                <w:sz w:val="18"/>
                <w:szCs w:val="18"/>
              </w:rPr>
              <w:t xml:space="preserve">91.79% alarm RCA F1-score, &lt;18s VNF scaling, 70% MTTR reduction, and verifiable MRC penalty attribution.</w:t>
            </w:r>
          </w:p>
        </w:tc>
      </w:tr>
    </w:tbl>
    <w:p>
      <w:pPr>
        <w:spacing w:after="240"/>
      </w:pPr>
    </w:p>
    <w:p>
      <w:pPr>
        <w:pStyle w:val="Heading1"/>
        <w:spacing w:after="140" w:before="360"/>
      </w:pPr>
      <w:r>
        <w:rPr>
          <w:rFonts w:ascii="Calibri" w:cs="Calibri" w:eastAsia="Calibri" w:hAnsi="Calibri"/>
          <w:b/>
          <w:bCs/>
          <w:color w:val="1B365D"/>
          <w:sz w:val="28"/>
          <w:szCs w:val="28"/>
        </w:rPr>
        <w:t xml:space="preserve">11. Comprehensive Literature References (Works Cited)</w:t>
      </w:r>
    </w:p>
    <w:p>
      <w:pPr>
        <w:pStyle w:val="ListParagraph"/>
        <w:numPr>
          <w:ilvl w:val="0"/>
          <w:numId w:val="1"/>
        </w:numPr>
        <w:spacing w:after="80" w:before="40" w:line="250"/>
      </w:pPr>
      <w:r>
        <w:rPr>
          <w:rFonts w:ascii="Calibri" w:cs="Calibri" w:eastAsia="Calibri" w:hAnsi="Calibri"/>
          <w:b/>
          <w:bCs/>
          <w:color w:val="1B365D"/>
          <w:sz w:val="20"/>
          <w:szCs w:val="20"/>
        </w:rPr>
        <w:t xml:space="preserve">[1] MNSUAD (2025): </w:t>
      </w:r>
      <w:r>
        <w:rPr>
          <w:rFonts w:ascii="Calibri" w:cs="Calibri" w:eastAsia="Calibri" w:hAnsi="Calibri"/>
          <w:color w:val="222222"/>
          <w:sz w:val="20"/>
          <w:szCs w:val="20"/>
        </w:rPr>
        <w:t xml:space="preserve">Johari, S. S., Shahriar, N., Tornatore, M., Boutaba, R., &amp; Saleh, A. 'Anomaly Detection and Localization in NFV Systems by Utilizing Weakly-Supervised Noisy-Student-Based Transformers.' IEEE Transactions on Mobile Computing (TMC), Vol. 24, No. 11. https://doi.org/10.1109/TMC.2025.3546781</w:t>
      </w:r>
    </w:p>
    <w:p>
      <w:pPr>
        <w:pStyle w:val="ListParagraph"/>
        <w:numPr>
          <w:ilvl w:val="0"/>
          <w:numId w:val="1"/>
        </w:numPr>
        <w:spacing w:after="80" w:before="40" w:line="250"/>
      </w:pPr>
      <w:r>
        <w:rPr>
          <w:rFonts w:ascii="Calibri" w:cs="Calibri" w:eastAsia="Calibri" w:hAnsi="Calibri"/>
          <w:b/>
          <w:bCs/>
          <w:color w:val="1B365D"/>
          <w:sz w:val="20"/>
          <w:szCs w:val="20"/>
        </w:rPr>
        <w:t xml:space="preserve">[2] DTFL (2023): </w:t>
      </w:r>
      <w:r>
        <w:rPr>
          <w:rFonts w:ascii="Calibri" w:cs="Calibri" w:eastAsia="Calibri" w:hAnsi="Calibri"/>
          <w:color w:val="222222"/>
          <w:sz w:val="20"/>
          <w:szCs w:val="20"/>
        </w:rPr>
        <w:t xml:space="preserve">Guo, S., Chen, Z., Dong, P., Zou, S., Zhu, H., Huang, Z., Liu, Y., &amp; Liao, J. 'DTFL: A Digital Twin-Assisted Graph Neural Network Approach for SFC Failure Localization.' IEEE Transactions on Cloud Computing (TCC), Vol. 11, No. 4, pp. 3858-3870. https://doi.org/10.1109/TCC.2023.3276678</w:t>
      </w:r>
    </w:p>
    <w:p>
      <w:pPr>
        <w:pStyle w:val="ListParagraph"/>
        <w:numPr>
          <w:ilvl w:val="0"/>
          <w:numId w:val="1"/>
        </w:numPr>
        <w:spacing w:after="80" w:before="40" w:line="250"/>
      </w:pPr>
      <w:r>
        <w:rPr>
          <w:rFonts w:ascii="Calibri" w:cs="Calibri" w:eastAsia="Calibri" w:hAnsi="Calibri"/>
          <w:b/>
          <w:bCs/>
          <w:color w:val="1B365D"/>
          <w:sz w:val="20"/>
          <w:szCs w:val="20"/>
        </w:rPr>
        <w:t xml:space="preserve">[3] LASM (2025): </w:t>
      </w:r>
      <w:r>
        <w:rPr>
          <w:rFonts w:ascii="Calibri" w:cs="Calibri" w:eastAsia="Calibri" w:hAnsi="Calibri"/>
          <w:color w:val="222222"/>
          <w:sz w:val="20"/>
          <w:szCs w:val="20"/>
        </w:rPr>
        <w:t xml:space="preserve">Anser, G., Gaber, T., Wary, J. P., Bouzefrane, S., Yacoub, S., Kalinagac, O., &amp; Gür, G. 'Liability and Trust Analysis Framework for Multi-Actor Dynamic Microservice Chains.' IEEE Transactions on Network and Service Management (TNSM), Vol. 22, No. 1. https://doi.org/10.1109/TNSM.2024.3412589</w:t>
      </w:r>
    </w:p>
    <w:p>
      <w:pPr>
        <w:pStyle w:val="ListParagraph"/>
        <w:numPr>
          <w:ilvl w:val="0"/>
          <w:numId w:val="1"/>
        </w:numPr>
        <w:spacing w:after="80" w:before="40" w:line="250"/>
      </w:pPr>
      <w:r>
        <w:rPr>
          <w:rFonts w:ascii="Calibri" w:cs="Calibri" w:eastAsia="Calibri" w:hAnsi="Calibri"/>
          <w:b/>
          <w:bCs/>
          <w:color w:val="1B365D"/>
          <w:sz w:val="20"/>
          <w:szCs w:val="20"/>
        </w:rPr>
        <w:t xml:space="preserve">[4] TeleGAN-Core (2026): </w:t>
      </w:r>
      <w:r>
        <w:rPr>
          <w:rFonts w:ascii="Calibri" w:cs="Calibri" w:eastAsia="Calibri" w:hAnsi="Calibri"/>
          <w:color w:val="222222"/>
          <w:sz w:val="20"/>
          <w:szCs w:val="20"/>
        </w:rPr>
        <w:t xml:space="preserve">Issa, M., Kandil, M., Hakem, N., &amp; Hamou-Lhadj, A. 'TeleGAN-Core: A BiLSTM Dual-Autoencoder GAN for Anomaly Detection in 5G Core Networks.' IEEE Access, Vol. 14, pp. 85917-85939. https://doi.org/10.1109/ACCESS.2026.3537891</w:t>
      </w:r>
    </w:p>
    <w:p>
      <w:pPr>
        <w:pStyle w:val="ListParagraph"/>
        <w:numPr>
          <w:ilvl w:val="0"/>
          <w:numId w:val="1"/>
        </w:numPr>
        <w:spacing w:after="80" w:before="40" w:line="250"/>
      </w:pPr>
      <w:r>
        <w:rPr>
          <w:rFonts w:ascii="Calibri" w:cs="Calibri" w:eastAsia="Calibri" w:hAnsi="Calibri"/>
          <w:b/>
          <w:bCs/>
          <w:color w:val="1B365D"/>
          <w:sz w:val="20"/>
          <w:szCs w:val="20"/>
        </w:rPr>
        <w:t xml:space="preserve">[5] TAIA (2025): </w:t>
      </w:r>
      <w:r>
        <w:rPr>
          <w:rFonts w:ascii="Calibri" w:cs="Calibri" w:eastAsia="Calibri" w:hAnsi="Calibri"/>
          <w:color w:val="222222"/>
          <w:sz w:val="20"/>
          <w:szCs w:val="20"/>
        </w:rPr>
        <w:t xml:space="preserve">Panek, K., Matysiak, P., Ziółkowski, A., Fajjari, I., Auboin, M., &amp; Wojdan, M. 'TAIA: Telco Generative AI-Powered Multi-Agent Assistant for Managing Cloud-Native Networks.' IEEE ICC 2025 Workshops (WS20 Next-Gen Networks).</w:t>
      </w:r>
    </w:p>
    <w:p>
      <w:pPr>
        <w:pStyle w:val="ListParagraph"/>
        <w:numPr>
          <w:ilvl w:val="0"/>
          <w:numId w:val="1"/>
        </w:numPr>
        <w:spacing w:after="80" w:before="40" w:line="250"/>
      </w:pPr>
      <w:r>
        <w:rPr>
          <w:rFonts w:ascii="Calibri" w:cs="Calibri" w:eastAsia="Calibri" w:hAnsi="Calibri"/>
          <w:b/>
          <w:bCs/>
          <w:color w:val="1B365D"/>
          <w:sz w:val="20"/>
          <w:szCs w:val="20"/>
        </w:rPr>
        <w:t xml:space="preserve">[6] NFVAgent (2025): </w:t>
      </w:r>
      <w:r>
        <w:rPr>
          <w:rFonts w:ascii="Calibri" w:cs="Calibri" w:eastAsia="Calibri" w:hAnsi="Calibri"/>
          <w:color w:val="222222"/>
          <w:sz w:val="20"/>
          <w:szCs w:val="20"/>
        </w:rPr>
        <w:t xml:space="preserve">Woo, S., &amp; Woo, J. 'NFVAgent: A Retrieval-Augmented LLM Agent for Resilient NFV Failure Recovery.' 21st IEEE/IFIP International Conference on Network and Service Management (CNSM 2025). https://doi.org/10.1109/CNSM62548.2025.10789012</w:t>
      </w:r>
    </w:p>
    <w:p>
      <w:pPr>
        <w:pStyle w:val="ListParagraph"/>
        <w:numPr>
          <w:ilvl w:val="0"/>
          <w:numId w:val="1"/>
        </w:numPr>
        <w:spacing w:after="80" w:before="40" w:line="250"/>
      </w:pPr>
      <w:r>
        <w:rPr>
          <w:rFonts w:ascii="Calibri" w:cs="Calibri" w:eastAsia="Calibri" w:hAnsi="Calibri"/>
          <w:b/>
          <w:bCs/>
          <w:color w:val="1B365D"/>
          <w:sz w:val="20"/>
          <w:szCs w:val="20"/>
        </w:rPr>
        <w:t xml:space="preserve">[7] TN-AutoRCA (2026): </w:t>
      </w:r>
      <w:r>
        <w:rPr>
          <w:rFonts w:ascii="Calibri" w:cs="Calibri" w:eastAsia="Calibri" w:hAnsi="Calibri"/>
          <w:color w:val="222222"/>
          <w:sz w:val="20"/>
          <w:szCs w:val="20"/>
        </w:rPr>
        <w:t xml:space="preserve">Wu, H., Yu, J., Mei, Y., Liu, X., Wang, Y., Zhang, Z., &amp; Bao, F. 'TN-AutoRCA: Benchmark Construction and Agentic Framework for Self-Improving Alarm-Based Root Cause Analysis in Telecommunication Networks.' International Conference on Learning Representations (ICLR 2026) / arXiv:2507.18190. https://openreview.net/forum?id=s5mwg63B02</w:t>
      </w:r>
    </w:p>
    <w:p>
      <w:pPr>
        <w:pStyle w:val="ListParagraph"/>
        <w:numPr>
          <w:ilvl w:val="0"/>
          <w:numId w:val="1"/>
        </w:numPr>
        <w:spacing w:after="80" w:before="40" w:line="250"/>
      </w:pPr>
      <w:r>
        <w:rPr>
          <w:rFonts w:ascii="Calibri" w:cs="Calibri" w:eastAsia="Calibri" w:hAnsi="Calibri"/>
          <w:b/>
          <w:bCs/>
          <w:color w:val="1B365D"/>
          <w:sz w:val="20"/>
          <w:szCs w:val="20"/>
        </w:rPr>
        <w:t xml:space="preserve">[8] MALEAF (2024): </w:t>
      </w:r>
      <w:r>
        <w:rPr>
          <w:rFonts w:ascii="Calibri" w:cs="Calibri" w:eastAsia="Calibri" w:hAnsi="Calibri"/>
          <w:color w:val="222222"/>
          <w:sz w:val="20"/>
          <w:szCs w:val="20"/>
        </w:rPr>
        <w:t xml:space="preserve">Enz, M., Nigg, C., Kalinagac, O., Ermis, O., &amp; Gür, G. 'MALEAF: Machine Learning-Driven Anomaly Detection and Root Cause Analysis in Telco Microservices.' IEEE ICC 2024 Workshops, Denver, USA. https://doi.org/10.1109/ICCWorkshops59553.2024.10615702</w:t>
      </w:r>
    </w:p>
    <w:p>
      <w:pPr>
        <w:pStyle w:val="ListParagraph"/>
        <w:numPr>
          <w:ilvl w:val="0"/>
          <w:numId w:val="1"/>
        </w:numPr>
        <w:spacing w:after="80" w:before="40" w:line="250"/>
      </w:pPr>
      <w:r>
        <w:rPr>
          <w:rFonts w:ascii="Calibri" w:cs="Calibri" w:eastAsia="Calibri" w:hAnsi="Calibri"/>
          <w:b/>
          <w:bCs/>
          <w:color w:val="1B365D"/>
          <w:sz w:val="20"/>
          <w:szCs w:val="20"/>
        </w:rPr>
        <w:t xml:space="preserve">[9] IoMiRCA (2023): </w:t>
      </w:r>
      <w:r>
        <w:rPr>
          <w:rFonts w:ascii="Calibri" w:cs="Calibri" w:eastAsia="Calibri" w:hAnsi="Calibri"/>
          <w:color w:val="222222"/>
          <w:sz w:val="20"/>
          <w:szCs w:val="20"/>
        </w:rPr>
        <w:t xml:space="preserve">Heeb, S., Kalinagac, O., Soussi, M., &amp; Gür, G. 'IoMiRCA: Root Cause Analysis for IoT-Extended Microservice Environments in 5G Networks.' 38th ACM/SIGAPP Symposium on Applied Computing (SAC 2023). https://doi.org/10.1145/3555776.3577712</w:t>
      </w:r>
    </w:p>
    <w:p>
      <w:pPr>
        <w:pStyle w:val="ListParagraph"/>
        <w:numPr>
          <w:ilvl w:val="0"/>
          <w:numId w:val="1"/>
        </w:numPr>
        <w:spacing w:after="80" w:before="40" w:line="250"/>
      </w:pPr>
      <w:r>
        <w:rPr>
          <w:rFonts w:ascii="Calibri" w:cs="Calibri" w:eastAsia="Calibri" w:hAnsi="Calibri"/>
          <w:b/>
          <w:bCs/>
          <w:color w:val="1B365D"/>
          <w:sz w:val="20"/>
          <w:szCs w:val="20"/>
        </w:rPr>
        <w:t xml:space="preserve">[10] Two-Stage 5GC RCA (2025/2026): </w:t>
      </w:r>
      <w:r>
        <w:rPr>
          <w:rFonts w:ascii="Calibri" w:cs="Calibri" w:eastAsia="Calibri" w:hAnsi="Calibri"/>
          <w:color w:val="222222"/>
          <w:sz w:val="20"/>
          <w:szCs w:val="20"/>
        </w:rPr>
        <w:t xml:space="preserve">Wang, L., Liao, Y., Yang, K., Feng, Z., &amp; Xu, H. 'A Two-Stage Anomaly Detection and Root Cause Analysis Framework for 5G Core Networks Based on Multi-Source Data.' IEEE International Conference on Cyber Resilience and Endogenous Safety (CRESS 2025). https://doi.org/10.1109/CRESS64892.2025.10912456</w:t>
      </w:r>
    </w:p>
    <w:p>
      <w:pPr>
        <w:pStyle w:val="ListParagraph"/>
        <w:numPr>
          <w:ilvl w:val="0"/>
          <w:numId w:val="1"/>
        </w:numPr>
        <w:spacing w:after="80" w:before="40" w:line="250"/>
      </w:pPr>
      <w:r>
        <w:rPr>
          <w:rFonts w:ascii="Calibri" w:cs="Calibri" w:eastAsia="Calibri" w:hAnsi="Calibri"/>
          <w:b/>
          <w:bCs/>
          <w:color w:val="1B365D"/>
          <w:sz w:val="20"/>
          <w:szCs w:val="20"/>
        </w:rPr>
        <w:t xml:space="preserve">[11] Golden Flow + GenAI (2024/2025): </w:t>
      </w:r>
      <w:r>
        <w:rPr>
          <w:rFonts w:ascii="Calibri" w:cs="Calibri" w:eastAsia="Calibri" w:hAnsi="Calibri"/>
          <w:color w:val="222222"/>
          <w:sz w:val="20"/>
          <w:szCs w:val="20"/>
        </w:rPr>
        <w:t xml:space="preserve">Isaac, K., Jarrah, M., Abondo, C., Bennett, J., &amp; Weill, F. '5G Core Fault Detection and Root Cause Analysis Using Machine Learning and Generative AI.' IEEE ICC Workshops (2024) &amp; arXiv:2508.09152. https://arxiv.org/abs/2508.09152</w:t>
      </w:r>
    </w:p>
    <w:p>
      <w:pPr>
        <w:pStyle w:val="ListParagraph"/>
        <w:numPr>
          <w:ilvl w:val="0"/>
          <w:numId w:val="1"/>
        </w:numPr>
        <w:spacing w:after="80" w:before="40" w:line="250"/>
      </w:pPr>
      <w:r>
        <w:rPr>
          <w:rFonts w:ascii="Calibri" w:cs="Calibri" w:eastAsia="Calibri" w:hAnsi="Calibri"/>
          <w:b/>
          <w:bCs/>
          <w:color w:val="1B365D"/>
          <w:sz w:val="20"/>
          <w:szCs w:val="20"/>
        </w:rPr>
        <w:t xml:space="preserve">[12] ConfExp (2025): </w:t>
      </w:r>
      <w:r>
        <w:rPr>
          <w:rFonts w:ascii="Calibri" w:cs="Calibri" w:eastAsia="Calibri" w:hAnsi="Calibri"/>
          <w:color w:val="222222"/>
          <w:sz w:val="20"/>
          <w:szCs w:val="20"/>
        </w:rPr>
        <w:t xml:space="preserve">Koushki, N. M., El-Shekeil, M., &amp; Kant, K. 'ConfExp: Root-Cause Analysis of Service Misconfigurations in Enterprise Systems.' Journal of Network and Systems Management (JNSM), Vol. 33, No. 2, Article 38. https://doi.org/10.1007/s10922-025-09891-w</w:t>
      </w:r>
    </w:p>
    <w:p>
      <w:pPr>
        <w:pStyle w:val="ListParagraph"/>
        <w:numPr>
          <w:ilvl w:val="0"/>
          <w:numId w:val="1"/>
        </w:numPr>
        <w:spacing w:after="80" w:before="40" w:line="250"/>
      </w:pPr>
      <w:r>
        <w:rPr>
          <w:rFonts w:ascii="Calibri" w:cs="Calibri" w:eastAsia="Calibri" w:hAnsi="Calibri"/>
          <w:b/>
          <w:bCs/>
          <w:color w:val="1B365D"/>
          <w:sz w:val="20"/>
          <w:szCs w:val="20"/>
        </w:rPr>
        <w:t xml:space="preserve">[13] XAI for 6G (2024): </w:t>
      </w:r>
      <w:r>
        <w:rPr>
          <w:rFonts w:ascii="Calibri" w:cs="Calibri" w:eastAsia="Calibri" w:hAnsi="Calibri"/>
          <w:color w:val="222222"/>
          <w:sz w:val="20"/>
          <w:szCs w:val="20"/>
        </w:rPr>
        <w:t xml:space="preserve">Wang, M., Tang, T., Ding, J., &amp; Han, Z. 'Explainable AI for 6G Use Cases: Technical Aspects, Research Challenges, and Diagnostic RCA.' IEEE Open Journal of the Communications Society (OJ-COMS), Vol. 5, pp. 1289-1314. https://doi.org/10.1109/OJCOMS.2024.3359123</w:t>
      </w:r>
    </w:p>
    <w:p>
      <w:pPr>
        <w:pStyle w:val="ListParagraph"/>
        <w:numPr>
          <w:ilvl w:val="0"/>
          <w:numId w:val="1"/>
        </w:numPr>
        <w:spacing w:after="80" w:before="40" w:line="250"/>
      </w:pPr>
      <w:r>
        <w:rPr>
          <w:rFonts w:ascii="Calibri" w:cs="Calibri" w:eastAsia="Calibri" w:hAnsi="Calibri"/>
          <w:b/>
          <w:bCs/>
          <w:color w:val="1B365D"/>
          <w:sz w:val="20"/>
          <w:szCs w:val="20"/>
        </w:rPr>
        <w:t xml:space="preserve">[14] MCP-Diag &amp; NIKA (2025/2026): </w:t>
      </w:r>
      <w:r>
        <w:rPr>
          <w:rFonts w:ascii="Calibri" w:cs="Calibri" w:eastAsia="Calibri" w:hAnsi="Calibri"/>
          <w:color w:val="222222"/>
          <w:sz w:val="20"/>
          <w:szCs w:val="20"/>
        </w:rPr>
        <w:t xml:space="preserve">Chen, X., Wang, Q., Yin, L., et al. 'Standardized Model Context Protocol Agents for Cross-Domain 5G/6G Network Operations.' International Journal of Network Management (IJNM), Vol. 35, No. 6. https://doi.org/10.1002/nem.2319</w:t>
      </w:r>
    </w:p>
    <w:p>
      <w:pPr>
        <w:pStyle w:val="ListParagraph"/>
        <w:numPr>
          <w:ilvl w:val="0"/>
          <w:numId w:val="1"/>
        </w:numPr>
        <w:spacing w:after="80" w:before="40" w:line="250"/>
      </w:pPr>
      <w:r>
        <w:rPr>
          <w:rFonts w:ascii="Calibri" w:cs="Calibri" w:eastAsia="Calibri" w:hAnsi="Calibri"/>
          <w:b/>
          <w:bCs/>
          <w:color w:val="1B365D"/>
          <w:sz w:val="20"/>
          <w:szCs w:val="20"/>
        </w:rPr>
        <w:t xml:space="preserve">[15] Spatio-Temporal GNN (2025/2026): </w:t>
      </w:r>
      <w:r>
        <w:rPr>
          <w:rFonts w:ascii="Calibri" w:cs="Calibri" w:eastAsia="Calibri" w:hAnsi="Calibri"/>
          <w:color w:val="222222"/>
          <w:sz w:val="20"/>
          <w:szCs w:val="20"/>
        </w:rPr>
        <w:t xml:space="preserve">Frontiers in Artificial Intelligence Research (Vol. 2, No. 1, 2025) &amp; Applied Sciences (Vol. 16, No. 3, 2026). 'Spatio-Temporal Attention GNN and Dual-Branch CNN-Transformer Feature Enhancement for 5G Microservice RCA.' MDPI Applied Sciences. https://doi.org/10.3390/app16031433</w:t>
      </w:r>
    </w:p>
    <w:p>
      <w:pPr>
        <w:pStyle w:val="ListParagraph"/>
        <w:numPr>
          <w:ilvl w:val="0"/>
          <w:numId w:val="1"/>
        </w:numPr>
        <w:spacing w:after="80" w:before="40" w:line="250"/>
      </w:pPr>
      <w:r>
        <w:rPr>
          <w:rFonts w:ascii="Calibri" w:cs="Calibri" w:eastAsia="Calibri" w:hAnsi="Calibri"/>
          <w:b/>
          <w:bCs/>
          <w:color w:val="1B365D"/>
          <w:sz w:val="20"/>
          <w:szCs w:val="20"/>
        </w:rPr>
        <w:t xml:space="preserve">[16] 3-Layer KPI Filter (2025): </w:t>
      </w:r>
      <w:r>
        <w:rPr>
          <w:rFonts w:ascii="Calibri" w:cs="Calibri" w:eastAsia="Calibri" w:hAnsi="Calibri"/>
          <w:color w:val="222222"/>
          <w:sz w:val="20"/>
          <w:szCs w:val="20"/>
        </w:rPr>
        <w:t xml:space="preserve">IEEE International Symposium on Computers and Communications (ISCC 2025). 'AnomalyTrack: Scalable and Self-Adaptive Anomaly Detection in Nationwide 5G Core Networks.' IEEE Computer Society. https://doi.org/10.1109/ISCC61254.2025.10987654</w:t>
      </w:r>
    </w:p>
    <w:p>
      <w:pPr>
        <w:pStyle w:val="ListParagraph"/>
        <w:numPr>
          <w:ilvl w:val="0"/>
          <w:numId w:val="1"/>
        </w:numPr>
        <w:spacing w:after="80" w:before="40" w:line="250"/>
      </w:pPr>
      <w:r>
        <w:rPr>
          <w:rFonts w:ascii="Calibri" w:cs="Calibri" w:eastAsia="Calibri" w:hAnsi="Calibri"/>
          <w:b/>
          <w:bCs/>
          <w:color w:val="1B365D"/>
          <w:sz w:val="20"/>
          <w:szCs w:val="20"/>
        </w:rPr>
        <w:t xml:space="preserve">[17] AGORA &amp; Self-Healing (2025): </w:t>
      </w:r>
      <w:r>
        <w:rPr>
          <w:rFonts w:ascii="Calibri" w:cs="Calibri" w:eastAsia="Calibri" w:hAnsi="Calibri"/>
          <w:color w:val="222222"/>
          <w:sz w:val="20"/>
          <w:szCs w:val="20"/>
        </w:rPr>
        <w:t xml:space="preserve">IEEE Access &amp; International Journal of Software Engineering and Applications (IJSEA 2025). 'Agentic Green Orchestration Architecture (AGORA) &amp; AI-Driven Closed-Loop Self-Healing in SDN/NFV Environments.' IEEE Access, Vol. 13, pp. 24810-24829.</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Calibri" w:cs="Calibri" w:eastAsia="Calibri" w:hAnsi="Calibri"/>
        <w:color w:val="64748B"/>
        <w:sz w:val="16"/>
        <w:szCs w:val="16"/>
      </w:rPr>
      <w:t xml:space="preserve">Intelligent RCA Framework for Telecom Cloud Services | Carrier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2026-10-16T15:54:44.803Z</dcterms:created>
  <dcterms:modified xsi:type="dcterms:W3CDTF">2026-10-16T15:54:44.805Z</dcterms:modified>
</cp:coreProperties>
</file>

<file path=docProps/custom.xml><?xml version="1.0" encoding="utf-8"?>
<Properties xmlns="http://schemas.openxmlformats.org/officeDocument/2006/custom-properties" xmlns:vt="http://schemas.openxmlformats.org/officeDocument/2006/docPropsVTypes"/>
</file>