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HEALTHCARE &amp; HOSPITAL MANAGEMENT SYSTEM</w:t>
      </w:r>
    </w:p>
    <w:p>
      <w:pPr>
        <w:jc w:val="center"/>
      </w:pPr>
      <w:r>
        <w:rPr>
          <w:b/>
          <w:sz w:val="30"/>
        </w:rPr>
        <w:t>End-to-End Medallion Architecture — Internship Final Submission</w:t>
      </w:r>
    </w:p>
    <w:p>
      <w:pPr>
        <w:jc w:val="center"/>
      </w:pPr>
      <w:r>
        <w:rPr>
          <w:i/>
        </w:rPr>
        <w:t>PySpark • Databricks • Delta Lake • Metadata-Driven ETL • Data Quality • Governance</w:t>
      </w:r>
    </w:p>
    <w:p>
      <w:pPr>
        <w:pStyle w:val="Heading1"/>
      </w:pPr>
      <w:r>
        <w:t>1. Abstract</w:t>
      </w:r>
    </w:p>
    <w:p>
      <w:r>
        <w:t>This project implements an end-to-end healthcare data engineering platform using Medallion Architecture. Raw CSV sources are ingested through a metadata-driven framework into Bronze Delta tables, cleansed and enriched in Silver, and aggregated into Gold KPI tables for analytics. The solution adds auditability, data-quality controls, referential-integrity validation, SHA-256 protection of sensitive fields, patient SCD Type 2 history, retry/quarantine handling, and Databricks Workflow deployment artifacts.</w:t>
      </w:r>
    </w:p>
    <w:p>
      <w:pPr>
        <w:pStyle w:val="Heading1"/>
      </w:pPr>
      <w:r>
        <w:t>2. Problem Statement</w:t>
      </w:r>
    </w:p>
    <w:p>
      <w:r>
        <w:t>The PDD identifies fragmented hospital data, billing inefficiencies, appointment no-shows, limited historical analysis, medication-management gaps and weak auditability. The proposed platform centralizes data processing and produces governed analytics-ready outputs.</w:t>
      </w:r>
    </w:p>
    <w:p>
      <w:pPr>
        <w:pStyle w:val="Heading1"/>
      </w:pPr>
      <w:r>
        <w:t>3. Objectives</w:t>
      </w:r>
    </w:p>
    <w:p>
      <w:pPr>
        <w:pStyle w:val="ListBullet"/>
      </w:pPr>
      <w:r>
        <w:t>Build Bronze → Silver → Gold Delta architecture.</w:t>
      </w:r>
    </w:p>
    <w:p>
      <w:pPr>
        <w:pStyle w:val="ListBullet"/>
      </w:pPr>
      <w:r>
        <w:t>Use metadata rather than duplicated ingestion logic.</w:t>
      </w:r>
    </w:p>
    <w:p>
      <w:pPr>
        <w:pStyle w:val="ListBullet"/>
      </w:pPr>
      <w:r>
        <w:t>Apply cleansing, validation, enrichment and SCD Type 2.</w:t>
      </w:r>
    </w:p>
    <w:p>
      <w:pPr>
        <w:pStyle w:val="ListBullet"/>
      </w:pPr>
      <w:r>
        <w:t>Create audit, DQ, retry and quarantine mechanisms.</w:t>
      </w:r>
    </w:p>
    <w:p>
      <w:pPr>
        <w:pStyle w:val="ListBullet"/>
      </w:pPr>
      <w:r>
        <w:t>Provide Gold KPIs and BI-ready tables.</w:t>
      </w:r>
    </w:p>
    <w:p>
      <w:pPr>
        <w:pStyle w:val="ListBullet"/>
      </w:pPr>
      <w:r>
        <w:t>Demonstrate governance and security controls aligned with the PDD.</w:t>
      </w:r>
    </w:p>
    <w:p>
      <w:pPr>
        <w:pStyle w:val="Heading1"/>
      </w:pPr>
      <w:r>
        <w:t>4. Technology Stack</w:t>
      </w:r>
    </w:p>
    <w:p>
      <w:pPr>
        <w:pStyle w:val="ListBullet"/>
      </w:pPr>
      <w:r>
        <w:t>Azure Databricks / Databricks Workflows</w:t>
      </w:r>
    </w:p>
    <w:p>
      <w:pPr>
        <w:pStyle w:val="ListBullet"/>
      </w:pPr>
      <w:r>
        <w:t>Apache Spark / PySpark 3.x</w:t>
      </w:r>
    </w:p>
    <w:p>
      <w:pPr>
        <w:pStyle w:val="ListBullet"/>
      </w:pPr>
      <w:r>
        <w:t>Delta Lake</w:t>
      </w:r>
    </w:p>
    <w:p>
      <w:pPr>
        <w:pStyle w:val="ListBullet"/>
      </w:pPr>
      <w:r>
        <w:t>ADLS Gen2 or DBFS-compatible paths</w:t>
      </w:r>
    </w:p>
    <w:p>
      <w:pPr>
        <w:pStyle w:val="ListBullet"/>
      </w:pPr>
      <w:r>
        <w:t>Databricks SQL</w:t>
      </w:r>
    </w:p>
    <w:p>
      <w:pPr>
        <w:pStyle w:val="ListBullet"/>
      </w:pPr>
      <w:r>
        <w:t>Python / pytest</w:t>
      </w:r>
    </w:p>
    <w:p>
      <w:pPr>
        <w:pStyle w:val="ListBullet"/>
      </w:pPr>
      <w:r>
        <w:t>Unity Catalog governance artifacts</w:t>
      </w:r>
    </w:p>
    <w:p>
      <w:pPr>
        <w:pStyle w:val="Heading1"/>
      </w:pPr>
      <w:r>
        <w:t>5. Architecture</w:t>
      </w:r>
    </w:p>
    <w:p>
      <w:r>
        <w:t>Source CSVs → Landing → Metadata-driven Bronze → Silver cleansing/enrichment → Gold KPIs → SQL/BI. Ops tables capture metadata, audit events, DQ and unsupported KPI status.</w:t>
      </w:r>
    </w:p>
    <w:p>
      <w:pPr>
        <w:pStyle w:val="Heading1"/>
      </w:pPr>
      <w:r>
        <w:t>6. Supplied Dataset and PDD Gap</w:t>
      </w:r>
    </w:p>
    <w:p>
      <w:r>
        <w:t>The PDD expects patient_master.csv, appointments.csv, billing_claims.csv, lab_results.csv and medications.csv. The supplied package instead contains patients.csv, appointments.csv, billing.csv, doctors.csv and treatments.csv. This implementation uses the five actual files and does not fabricate absent healthcare facts. Lab and medication source contracts are included as inactive configuration entries.</w:t>
      </w:r>
    </w:p>
    <w:p>
      <w:pPr>
        <w:pStyle w:val="Heading1"/>
      </w:pPr>
      <w:r>
        <w:t>7. Bronze Layer</w:t>
      </w:r>
    </w:p>
    <w:p>
      <w:pPr>
        <w:pStyle w:val="ListBullet"/>
      </w:pPr>
      <w:r>
        <w:t>Raw source preservation with ingestion timestamp, source filename, batch ID, layer, record hash, ingestion date, pipeline version, source system, row number and duplicate flag.</w:t>
      </w:r>
    </w:p>
    <w:p>
      <w:pPr>
        <w:pStyle w:val="ListBullet"/>
      </w:pPr>
      <w:r>
        <w:t>Metadata-driven processing using healthcare_ops.source_metadata.</w:t>
      </w:r>
    </w:p>
    <w:p>
      <w:pPr>
        <w:pStyle w:val="ListBullet"/>
      </w:pPr>
      <w:r>
        <w:t>Source-specific schema gates and malformed-record quarantine.</w:t>
      </w:r>
    </w:p>
    <w:p>
      <w:pPr>
        <w:pStyle w:val="ListBullet"/>
      </w:pPr>
      <w:r>
        <w:t>Retry logic and audit entry for every source.</w:t>
      </w:r>
    </w:p>
    <w:p>
      <w:pPr>
        <w:pStyle w:val="Heading1"/>
      </w:pPr>
      <w:r>
        <w:t>8. Silver Layer</w:t>
      </w:r>
    </w:p>
    <w:p>
      <w:pPr>
        <w:pStyle w:val="ListBullet"/>
      </w:pPr>
      <w:r>
        <w:t>Patient cleansing and validation with real SCD Type 2.</w:t>
      </w:r>
    </w:p>
    <w:p>
      <w:pPr>
        <w:pStyle w:val="ListBullet"/>
      </w:pPr>
      <w:r>
        <w:t>Appointment validation, patient/doctor enrichment and no-show flag.</w:t>
      </w:r>
    </w:p>
    <w:p>
      <w:pPr>
        <w:pStyle w:val="ListBullet"/>
      </w:pPr>
      <w:r>
        <w:t>Billing validation and payment-status proxy metric.</w:t>
      </w:r>
    </w:p>
    <w:p>
      <w:pPr>
        <w:pStyle w:val="ListBullet"/>
      </w:pPr>
      <w:r>
        <w:t>Doctor PII hashing and provider validation.</w:t>
      </w:r>
    </w:p>
    <w:p>
      <w:pPr>
        <w:pStyle w:val="ListBullet"/>
      </w:pPr>
      <w:r>
        <w:t>Treatment validation and appointment enrichment.</w:t>
      </w:r>
    </w:p>
    <w:p>
      <w:pPr>
        <w:pStyle w:val="Heading1"/>
      </w:pPr>
      <w:r>
        <w:t>9. SCD Type 2</w:t>
      </w:r>
    </w:p>
    <w:p>
      <w:r>
        <w:t>Patient history is tracked using effective_from, effective_to, _is_current and _record_version. A Delta MERGE expires the previous current record when business attributes change and appends the new version.</w:t>
      </w:r>
    </w:p>
    <w:p>
      <w:pPr>
        <w:pStyle w:val="Heading1"/>
      </w:pPr>
      <w:r>
        <w:t>10. Data Quality</w:t>
      </w:r>
    </w:p>
    <w:p>
      <w:pPr>
        <w:pStyle w:val="ListBullet"/>
      </w:pPr>
      <w:r>
        <w:t>Null and mandatory-field checks</w:t>
      </w:r>
    </w:p>
    <w:p>
      <w:pPr>
        <w:pStyle w:val="ListBullet"/>
      </w:pPr>
      <w:r>
        <w:t>Duplicate primary-key detection</w:t>
      </w:r>
    </w:p>
    <w:p>
      <w:pPr>
        <w:pStyle w:val="ListBullet"/>
      </w:pPr>
      <w:r>
        <w:t>Categorical validation</w:t>
      </w:r>
    </w:p>
    <w:p>
      <w:pPr>
        <w:pStyle w:val="ListBullet"/>
      </w:pPr>
      <w:r>
        <w:t>Date parsing</w:t>
      </w:r>
    </w:p>
    <w:p>
      <w:pPr>
        <w:pStyle w:val="ListBullet"/>
      </w:pPr>
      <w:r>
        <w:t>Non-negative billing/treatment amounts</w:t>
      </w:r>
    </w:p>
    <w:p>
      <w:pPr>
        <w:pStyle w:val="ListBullet"/>
      </w:pPr>
      <w:r>
        <w:t>Referential integrity across all supplied foreign keys</w:t>
      </w:r>
    </w:p>
    <w:p>
      <w:pPr>
        <w:pStyle w:val="ListBullet"/>
      </w:pPr>
      <w:r>
        <w:t>DQ scores and audit trend reporting</w:t>
      </w:r>
    </w:p>
    <w:p>
      <w:pPr>
        <w:pStyle w:val="ListBullet"/>
      </w:pPr>
      <w:r>
        <w:t>Quarantine of invalid rows</w:t>
      </w:r>
    </w:p>
    <w:p>
      <w:pPr>
        <w:pStyle w:val="Heading1"/>
      </w:pPr>
      <w:r>
        <w:t>11. Gold Layer &amp; KPIs</w:t>
      </w:r>
    </w:p>
    <w:p>
      <w:r>
        <w:t>Patient No Show Rate: 26.00</w:t>
      </w:r>
    </w:p>
    <w:p>
      <w:r>
        <w:t>Appointment Completion Rate: 23.00</w:t>
      </w:r>
    </w:p>
    <w:p>
      <w:r>
        <w:t>Appointment Cancellation Rate: 25.50</w:t>
      </w:r>
    </w:p>
    <w:p>
      <w:r>
        <w:t>Appointment Scheduled Rate: 25.50</w:t>
      </w:r>
    </w:p>
    <w:p>
      <w:r>
        <w:t>Payment Success Rate Proxy: 32.00</w:t>
      </w:r>
    </w:p>
    <w:p>
      <w:r>
        <w:t>Total Billed Amount: 551249.85</w:t>
      </w:r>
    </w:p>
    <w:p>
      <w:r>
        <w:t>Average Treatment Cost: 2756.25</w:t>
      </w:r>
    </w:p>
    <w:p>
      <w:r>
        <w:t>Patients With Appointments: 48</w:t>
      </w:r>
    </w:p>
    <w:p>
      <w:r>
        <w:t>PDD KPIs requiring absent fields are not fabricated. The Gold layer contains a pdd_kpi_gap table documenting why ALOS, HCAHPS, Billing Accuracy, Claim Approval, Medication Turnover, Operating Cost per Patient and Readmission Rate cannot be computed from the supplied files.</w:t>
      </w:r>
    </w:p>
    <w:p>
      <w:pPr>
        <w:pStyle w:val="Heading1"/>
      </w:pPr>
      <w:r>
        <w:t>12. Audit &amp; Operations</w:t>
      </w:r>
    </w:p>
    <w:p>
      <w:pPr>
        <w:pStyle w:val="ListBullet"/>
      </w:pPr>
      <w:r>
        <w:t>Central healthcare_ops.audit_log with pipeline times, rows, status, error, duration, notebook, cluster/app IDs, quarantine counts, DQ score, environment, retry attempt, classification, SLA and notification flags.</w:t>
      </w:r>
    </w:p>
    <w:p>
      <w:pPr>
        <w:pStyle w:val="ListBullet"/>
      </w:pPr>
      <w:r>
        <w:t>Daily Databricks Workflow artifact with parallel Silver tasks and retry settings.</w:t>
      </w:r>
    </w:p>
    <w:p>
      <w:pPr>
        <w:pStyle w:val="ListBullet"/>
      </w:pPr>
      <w:r>
        <w:t>SLA cutoff is represented as 06:00 UTC.</w:t>
      </w:r>
    </w:p>
    <w:p>
      <w:pPr>
        <w:pStyle w:val="Heading1"/>
      </w:pPr>
      <w:r>
        <w:t>13. Security &amp; Governance</w:t>
      </w:r>
    </w:p>
    <w:p>
      <w:pPr>
        <w:pStyle w:val="ListBullet"/>
      </w:pPr>
      <w:r>
        <w:t>SHA-256 masking of DOB/phone/email/address/insurance number; SSN is not present in supplied data.</w:t>
      </w:r>
    </w:p>
    <w:p>
      <w:pPr>
        <w:pStyle w:val="ListBullet"/>
      </w:pPr>
      <w:r>
        <w:t>Gold avoids direct patient PII.</w:t>
      </w:r>
    </w:p>
    <w:p>
      <w:pPr>
        <w:pStyle w:val="ListBullet"/>
      </w:pPr>
      <w:r>
        <w:t>Unity Catalog/RBAC SQL artifact.</w:t>
      </w:r>
    </w:p>
    <w:p>
      <w:pPr>
        <w:pStyle w:val="ListBullet"/>
      </w:pPr>
      <w:r>
        <w:t>Azure encryption/TLS/GRS/retention deployment guidance.</w:t>
      </w:r>
    </w:p>
    <w:p>
      <w:pPr>
        <w:pStyle w:val="ListBullet"/>
      </w:pPr>
      <w:r>
        <w:t>HIPAA-aligned controls are demonstrated; legal compliance certification is outside project scope.</w:t>
      </w:r>
    </w:p>
    <w:p>
      <w:pPr>
        <w:pStyle w:val="Heading1"/>
      </w:pPr>
      <w:r>
        <w:t>14. Actual Validation Results</w:t>
      </w:r>
    </w:p>
    <w:p>
      <w:r>
        <w:t>appointments.patient_id -&gt; patients.patient_id: PASS — orphan rows 0</w:t>
      </w:r>
    </w:p>
    <w:p>
      <w:r>
        <w:t>appointments.doctor_id -&gt; doctors.doctor_id: PASS — orphan rows 0</w:t>
      </w:r>
    </w:p>
    <w:p>
      <w:r>
        <w:t>billing.patient_id -&gt; patients.patient_id: PASS — orphan rows 0</w:t>
      </w:r>
    </w:p>
    <w:p>
      <w:r>
        <w:t>billing.treatment_id -&gt; treatments.treatment_id: PASS — orphan rows 0</w:t>
      </w:r>
    </w:p>
    <w:p>
      <w:r>
        <w:t>treatments.appointment_id -&gt; appointments.appointment_id: PASS — orphan rows 0</w:t>
      </w:r>
    </w:p>
    <w:p>
      <w:r>
        <w:t>All five supplied datasets contain zero null cells and zero duplicate primary keys in the baseline inspection.</w:t>
      </w:r>
    </w:p>
    <w:p>
      <w:pPr>
        <w:pStyle w:val="Heading1"/>
      </w:pPr>
      <w:r>
        <w:t>15. Business Insights</w:t>
      </w:r>
    </w:p>
    <w:p>
      <w:pPr>
        <w:pStyle w:val="ListBullet"/>
      </w:pPr>
      <w:r>
        <w:t>No-show rate is 26.00%, above the PDD target of &lt;10%, indicating significant appointment-slot leakage.</w:t>
      </w:r>
    </w:p>
    <w:p>
      <w:pPr>
        <w:pStyle w:val="ListBullet"/>
      </w:pPr>
      <w:r>
        <w:t>Only 23.00% of appointments are completed in the supplied snapshot.</w:t>
      </w:r>
    </w:p>
    <w:p>
      <w:pPr>
        <w:pStyle w:val="ListBullet"/>
      </w:pPr>
      <w:r>
        <w:t>Payment success proxy is 32.00%; this is payment status, not insurance claim approval.</w:t>
      </w:r>
    </w:p>
    <w:p>
      <w:pPr>
        <w:pStyle w:val="ListBullet"/>
      </w:pPr>
      <w:r>
        <w:t>Total billed amount is 551249.85 and average treatment cost is 2756.25.</w:t>
      </w:r>
    </w:p>
    <w:p>
      <w:pPr>
        <w:pStyle w:val="ListBullet"/>
      </w:pPr>
      <w:r>
        <w:t>Foreign-key checks pass across the five supplied datasets, supporting a consistent relational model.</w:t>
      </w:r>
    </w:p>
    <w:p>
      <w:pPr>
        <w:pStyle w:val="Heading1"/>
      </w:pPr>
      <w:r>
        <w:t>16. Limitations</w:t>
      </w:r>
    </w:p>
    <w:p>
      <w:pPr>
        <w:pStyle w:val="ListBullet"/>
      </w:pPr>
      <w:r>
        <w:t>Missing PDD lab_results and medications files.</w:t>
      </w:r>
    </w:p>
    <w:p>
      <w:pPr>
        <w:pStyle w:val="ListBullet"/>
      </w:pPr>
      <w:r>
        <w:t>billing.csv has payment_status rather than claim_status.</w:t>
      </w:r>
    </w:p>
    <w:p>
      <w:pPr>
        <w:pStyle w:val="ListBullet"/>
      </w:pPr>
      <w:r>
        <w:t>No admission/discharge events for ALOS/readmission.</w:t>
      </w:r>
    </w:p>
    <w:p>
      <w:pPr>
        <w:pStyle w:val="ListBullet"/>
      </w:pPr>
      <w:r>
        <w:t>No HCAHPS survey scores.</w:t>
      </w:r>
    </w:p>
    <w:p>
      <w:pPr>
        <w:pStyle w:val="ListBullet"/>
      </w:pPr>
      <w:r>
        <w:t>No authoritative billing-accuracy field/rule.</w:t>
      </w:r>
    </w:p>
    <w:p>
      <w:pPr>
        <w:pStyle w:val="ListBullet"/>
      </w:pPr>
      <w:r>
        <w:t>Cloud infrastructure controls require the target Azure subscription/workspace.</w:t>
      </w:r>
    </w:p>
    <w:p>
      <w:pPr>
        <w:pStyle w:val="Heading1"/>
      </w:pPr>
      <w:r>
        <w:t>17. Future Scope</w:t>
      </w:r>
    </w:p>
    <w:p>
      <w:pPr>
        <w:pStyle w:val="ListBullet"/>
      </w:pPr>
      <w:r>
        <w:t>Add actual lab and medication sources.</w:t>
      </w:r>
    </w:p>
    <w:p>
      <w:pPr>
        <w:pStyle w:val="ListBullet"/>
      </w:pPr>
      <w:r>
        <w:t>Enable Unity Catalog grants and column masks in production.</w:t>
      </w:r>
    </w:p>
    <w:p>
      <w:pPr>
        <w:pStyle w:val="ListBullet"/>
      </w:pPr>
      <w:r>
        <w:t>Connect Power BI to Gold Delta tables.</w:t>
      </w:r>
    </w:p>
    <w:p>
      <w:pPr>
        <w:pStyle w:val="ListBullet"/>
      </w:pPr>
      <w:r>
        <w:t>Add ML no-show/readmission prediction once historical features exist.</w:t>
      </w:r>
    </w:p>
    <w:p>
      <w:pPr>
        <w:pStyle w:val="ListBullet"/>
      </w:pPr>
      <w:r>
        <w:t>Enable GRS, lifecycle policies and incident-response routing.</w:t>
      </w:r>
    </w:p>
    <w:p>
      <w:pPr>
        <w:pStyle w:val="Heading1"/>
      </w:pPr>
      <w:r>
        <w:t>18. Conclusion</w:t>
      </w:r>
    </w:p>
    <w:p>
      <w:r>
        <w:t>The completed project provides a production-oriented Data Engineering foundation that implements the PDD architecture and operational controls without fabricating unavailable data. It is directly deployable to Databricks after environment-specific paths, credentials, governance grants and cloud resources are configured.</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