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Log — Ada Discovery Coach v2, Run 3: Hardening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8B6324"/>
        </w:rPr>
        <w:t>feat/discovery-platform-run3</w:t>
      </w:r>
      <w:r>
        <w:t xml:space="preserve"> (stacked on </w:t>
      </w:r>
      <w:r>
        <w:rPr>
          <w:rFonts w:ascii="Consolas" w:hAnsi="Consolas"/>
          <w:color w:val="8B6324"/>
        </w:rPr>
        <w:t>feat/discovery-platform-run2</w:t>
      </w:r>
      <w:r>
        <w:t>, PR #2)</w:t>
      </w:r>
    </w:p>
    <w:p>
      <w:r>
        <w:rPr>
          <w:b/>
        </w:rPr>
        <w:t>Date:</w:t>
      </w:r>
      <w:r>
        <w:t xml:space="preserve"> 2026-07-04</w:t>
      </w:r>
    </w:p>
    <w:p>
      <w:r>
        <w:rPr>
          <w:b/>
        </w:rPr>
        <w:t>Built by:</w:t>
      </w:r>
      <w:r>
        <w:t xml:space="preserve"> Claude Fable 5 (build-time only — no production code path calls Fable 5 or any Mythos-tier model)</w:t>
      </w:r>
    </w:p>
    <w:p>
      <w:r>
        <w:rPr>
          <w:b/>
        </w:rPr>
        <w:t>Scope:</w:t>
      </w:r>
      <w:r>
        <w:t xml:space="preserve"> the Run 3 </w:t>
      </w:r>
      <w:r>
        <w:rPr>
          <w:rFonts w:ascii="Consolas" w:hAnsi="Consolas"/>
          <w:color w:val="8B6324"/>
        </w:rPr>
        <w:t>/goal</w:t>
      </w:r>
      <w:r>
        <w:t xml:space="preserve"> — a hardening run, not a feature build. Four fixes: storage policies for session file uploads, an admin spend view, the same-session-two-tabs guard, and direct verification of the Run 2 model_usage gap.</w:t>
      </w:r>
    </w:p>
    <w:p>
      <w:pPr>
        <w:pStyle w:val="Heading2"/>
      </w:pPr>
      <w:r>
        <w:t>1. Setup and branch decision</w:t>
      </w:r>
    </w:p>
    <w:p>
      <w:pPr>
        <w:pStyle w:val="ListBullet"/>
      </w:pPr>
      <w:r>
        <w:t xml:space="preserve">PR #2 (Run 2) was still unmerged when this run started, and </w:t>
      </w:r>
      <w:r>
        <w:rPr>
          <w:rFonts w:ascii="Consolas" w:hAnsi="Consolas"/>
          <w:color w:val="8B6324"/>
        </w:rPr>
        <w:t>feat/discovery-platform-run3</w:t>
      </w:r>
      <w:r>
        <w:t xml:space="preserve"> had been cut from main — which contains none of Run 2's code, while three of the four fixes modify Run 2 files and the deployed backend already runs Run 2. Resolution: </w:t>
      </w:r>
      <w:r>
        <w:rPr>
          <w:b/>
        </w:rPr>
        <w:t>fast-forward-merged the run2 branch into run3</w:t>
      </w:r>
      <w:r>
        <w:t xml:space="preserve"> (reversible, merges nothing to main on Mo's behalf). Run 3's PR is stacked on PR #2; once #2 merges, GitHub retargets #3 to main and its diff collapses to just the hardening changes.</w:t>
      </w:r>
    </w:p>
    <w:p>
      <w:pPr>
        <w:pStyle w:val="ListBullet"/>
      </w:pPr>
      <w:r>
        <w:t>PRD and Run 1 log were read in full earlier this session; the Run 2 log was written by this session. Reading precondition met.</w:t>
      </w:r>
    </w:p>
    <w:p>
      <w:pPr>
        <w:pStyle w:val="Heading2"/>
      </w:pPr>
      <w:r>
        <w:t>2. Decisions and rationale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t xml:space="preserve">Storage fix = drop the </w:t>
            </w:r>
            <w:r>
              <w:rPr>
                <w:rFonts w:ascii="Consolas" w:hAnsi="Consolas"/>
                <w:color w:val="8B6324"/>
              </w:rPr>
              <w:t>role = 'owner'</w:t>
            </w:r>
            <w:r>
              <w:t xml:space="preserve"> clause from the three </w:t>
            </w:r>
            <w:r>
              <w:rPr>
                <w:rFonts w:ascii="Consolas" w:hAnsi="Consolas"/>
                <w:color w:val="8B6324"/>
              </w:rPr>
              <w:t>documents</w:t>
            </w:r>
            <w:r>
              <w:t>-bucket policies, keep the per-user path scoping (</w:t>
            </w:r>
            <w:r>
              <w:rPr>
                <w:rFonts w:ascii="Consolas" w:hAnsi="Consolas"/>
                <w:color w:val="8B6324"/>
              </w:rPr>
              <w:t>(storage.foldername(name))[1] = auth.uid()::text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Path scoping already guarantees users can only touch their own folder. Global-corpus protection doesn't live in storage: the </w:t>
            </w:r>
            <w:r>
              <w:rPr>
                <w:rFonts w:ascii="Consolas" w:hAnsi="Consolas"/>
                <w:color w:val="8B6324"/>
              </w:rPr>
              <w:t>documents</w:t>
            </w:r>
            <w:r>
              <w:t xml:space="preserve"> TABLE keeps owner-role policies for global rows, and the </w:t>
            </w:r>
            <w:r>
              <w:rPr>
                <w:rFonts w:ascii="Consolas" w:hAnsi="Consolas"/>
                <w:color w:val="8B6324"/>
              </w:rPr>
              <w:t>ingest</w:t>
            </w:r>
            <w:r>
              <w:t xml:space="preserve"> global path re-checks owner in code. A non-owner can now upload files but can only attach them to sessions they own.</w:t>
            </w:r>
          </w:p>
        </w:tc>
      </w:tr>
      <w:tr>
        <w:tc>
          <w:tcPr>
            <w:tcW w:type="dxa" w:w="4320"/>
          </w:tcPr>
          <w:p>
            <w:r>
              <w:t xml:space="preserve">Web-search spend needs a new COLUMN, not a new table: </w:t>
            </w:r>
            <w:r>
              <w:rPr>
                <w:rFonts w:ascii="Consolas" w:hAnsi="Consolas"/>
                <w:color w:val="8B6324"/>
              </w:rPr>
              <w:t>model_usage.web_search_requests</w:t>
            </w:r>
          </w:p>
        </w:tc>
        <w:tc>
          <w:tcPr>
            <w:tcW w:type="dxa" w:w="4320"/>
          </w:tcPr>
          <w:p>
            <w:r>
              <w:t xml:space="preserve">Run 2 folded search cost into </w:t>
            </w:r>
            <w:r>
              <w:rPr>
                <w:rFonts w:ascii="Consolas" w:hAnsi="Consolas"/>
                <w:color w:val="8B6324"/>
              </w:rPr>
              <w:t>cost_usd</w:t>
            </w:r>
            <w:r>
              <w:t>, which is correct for totals but makes web-search spend inseparable after the fact. Storing the request count (the goal permits schema use; it bans new tables) lets the spend view show search cost exactly (count × $0.01) from now on. Historical market_grounding rows stay NULL and are labeled as blended in the view.</w:t>
            </w:r>
          </w:p>
        </w:tc>
      </w:tr>
      <w:tr>
        <w:tc>
          <w:tcPr>
            <w:tcW w:type="dxa" w:w="4320"/>
          </w:tcPr>
          <w:p>
            <w:r>
              <w:t xml:space="preserve">Two-tab guard = optimistic concurrency on </w:t>
            </w:r>
            <w:r>
              <w:rPr>
                <w:rFonts w:ascii="Consolas" w:hAnsi="Consolas"/>
                <w:color w:val="8B6324"/>
              </w:rPr>
              <w:t>sessions.updated_at</w:t>
            </w:r>
            <w:r>
              <w:t xml:space="preserve"> via an optional </w:t>
            </w:r>
            <w:r>
              <w:rPr>
                <w:rFonts w:ascii="Consolas" w:hAnsi="Consolas"/>
                <w:color w:val="8B6324"/>
              </w:rPr>
              <w:t>if_unmodified_since</w:t>
            </w:r>
            <w:r>
              <w:t xml:space="preserve"> on sessions PATCH; mismatch → 409 </w:t>
            </w:r>
            <w:r>
              <w:rPr>
                <w:rFonts w:ascii="Consolas" w:hAnsi="Consolas"/>
                <w:color w:val="8B6324"/>
              </w:rPr>
              <w:t>stale_session</w:t>
            </w:r>
          </w:p>
        </w:tc>
        <w:tc>
          <w:tcPr>
            <w:tcW w:type="dxa" w:w="4320"/>
          </w:tcPr>
          <w:p>
            <w:r>
              <w:t xml:space="preserve">Matches the PRD's exact remedy ("rejects the second submission with a refresh-to-continue message rather than overwriting"). Opt-in field keeps the API backward compatible; the sprint UI always sends it. The bookmark path now returns the freshly-updated row so the client always holds the current </w:t>
            </w:r>
            <w:r>
              <w:rPr>
                <w:rFonts w:ascii="Consolas" w:hAnsi="Consolas"/>
                <w:color w:val="8B6324"/>
              </w:rPr>
              <w:t>updated_at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 xml:space="preserve">Spend view = new </w:t>
            </w:r>
            <w:r>
              <w:rPr>
                <w:rFonts w:ascii="Consolas" w:hAnsi="Consolas"/>
                <w:color w:val="8B6324"/>
              </w:rPr>
              <w:t>admin-spend</w:t>
            </w:r>
            <w:r>
              <w:t xml:space="preserve"> Edge Function (requireAdmin) aggregating in memory over a bounded window (default 30 days, cap 90) + a Spend tab in the existing Admin panel</w:t>
            </w:r>
          </w:p>
        </w:tc>
        <w:tc>
          <w:tcPr>
            <w:tcW w:type="dxa" w:w="4320"/>
          </w:tcPr>
          <w:p>
            <w:r>
              <w:t xml:space="preserve">Mirrors the </w:t>
            </w:r>
            <w:r>
              <w:rPr>
                <w:rFonts w:ascii="Consolas" w:hAnsi="Consolas"/>
                <w:color w:val="8B6324"/>
              </w:rPr>
              <w:t>admin-insights</w:t>
            </w:r>
            <w:r>
              <w:t xml:space="preserve"> precedent (in-memory aggregation via the service client, documented to move to SQL if the dataset grows). Separate function, not bolted onto insights — one job each. Admin-level access matches the Should-Have story ("As an Admin…"); it is not owner-gated.</w:t>
            </w:r>
          </w:p>
        </w:tc>
      </w:tr>
    </w:tbl>
    <w:p>
      <w:pPr>
        <w:pStyle w:val="Heading2"/>
      </w:pPr>
      <w:r>
        <w:t>3. What was built</w:t>
      </w:r>
    </w:p>
    <w:p>
      <w:pPr>
        <w:pStyle w:val="ListBullet"/>
      </w:pPr>
      <w:r>
        <w:rPr>
          <w:b/>
        </w:rPr>
        <w:t>Migration `storage_session_uploads`</w:t>
      </w:r>
      <w:r>
        <w:t xml:space="preserve"> (applied via MCP, committed locally): dropped the three owner-role storage policies on the </w:t>
      </w:r>
      <w:r>
        <w:rPr>
          <w:rFonts w:ascii="Consolas" w:hAnsi="Consolas"/>
          <w:color w:val="8B6324"/>
        </w:rPr>
        <w:t>documents</w:t>
      </w:r>
      <w:r>
        <w:t xml:space="preserve"> bucket; created per-user path-scoped replacements (insert/select/delete where </w:t>
      </w:r>
      <w:r>
        <w:rPr>
          <w:rFonts w:ascii="Consolas" w:hAnsi="Consolas"/>
          <w:color w:val="8B6324"/>
        </w:rPr>
        <w:t>(storage.foldername(name))[1] = auth.uid()::text</w:t>
      </w:r>
      <w:r>
        <w:t>).</w:t>
      </w:r>
    </w:p>
    <w:p>
      <w:pPr>
        <w:pStyle w:val="ListBullet"/>
      </w:pPr>
      <w:r>
        <w:rPr>
          <w:b/>
        </w:rPr>
        <w:t>Migration `model_usage_web_search`</w:t>
      </w:r>
      <w:r>
        <w:t xml:space="preserve">: added </w:t>
      </w:r>
      <w:r>
        <w:rPr>
          <w:rFonts w:ascii="Consolas" w:hAnsi="Consolas"/>
          <w:color w:val="8B6324"/>
        </w:rPr>
        <w:t>model_usage.web_search_requests integer</w:t>
      </w:r>
      <w:r>
        <w:t xml:space="preserve"> (CHECK ≥ 0, nullable); </w:t>
      </w:r>
      <w:r>
        <w:rPr>
          <w:rFonts w:ascii="Consolas" w:hAnsi="Consolas"/>
          <w:color w:val="8B6324"/>
        </w:rPr>
        <w:t>usage.ts</w:t>
      </w:r>
      <w:r>
        <w:t xml:space="preserve"> now writes it alongside the all-in </w:t>
      </w:r>
      <w:r>
        <w:rPr>
          <w:rFonts w:ascii="Consolas" w:hAnsi="Consolas"/>
          <w:color w:val="8B6324"/>
        </w:rPr>
        <w:t>cost_usd</w:t>
      </w:r>
      <w:r>
        <w:t>.</w:t>
      </w:r>
    </w:p>
    <w:p>
      <w:pPr>
        <w:pStyle w:val="ListBullet"/>
      </w:pPr>
      <w:r>
        <w:rPr>
          <w:b/>
        </w:rPr>
        <w:t>Two-tab guard</w:t>
      </w:r>
      <w:r>
        <w:t xml:space="preserve">: </w:t>
      </w:r>
      <w:r>
        <w:rPr>
          <w:rFonts w:ascii="Consolas" w:hAnsi="Consolas"/>
          <w:color w:val="8B6324"/>
        </w:rPr>
        <w:t>sessions</w:t>
      </w:r>
      <w:r>
        <w:t xml:space="preserve"> PATCH accepts optional </w:t>
      </w:r>
      <w:r>
        <w:rPr>
          <w:rFonts w:ascii="Consolas" w:hAnsi="Consolas"/>
          <w:color w:val="8B6324"/>
        </w:rPr>
        <w:t>if_unmodified_since</w:t>
      </w:r>
      <w:r>
        <w:t xml:space="preserve">; mismatch with the row's </w:t>
      </w:r>
      <w:r>
        <w:rPr>
          <w:rFonts w:ascii="Consolas" w:hAnsi="Consolas"/>
          <w:color w:val="8B6324"/>
        </w:rPr>
        <w:t>updated_at</w:t>
      </w:r>
      <w:r>
        <w:t xml:space="preserve"> → 409 </w:t>
      </w:r>
      <w:r>
        <w:rPr>
          <w:rFonts w:ascii="Consolas" w:hAnsi="Consolas"/>
          <w:color w:val="8B6324"/>
        </w:rPr>
        <w:t>{ error: 'stale_session', current_updated_at }</w:t>
      </w:r>
      <w:r>
        <w:t xml:space="preserve">. The bookmark path now returns the freshly-updated row (the client's concurrency token must advance). </w:t>
      </w:r>
      <w:r>
        <w:rPr>
          <w:rFonts w:ascii="Consolas" w:hAnsi="Consolas"/>
          <w:color w:val="8B6324"/>
        </w:rPr>
        <w:t>discovery-api</w:t>
      </w:r>
      <w:r>
        <w:t xml:space="preserve"> passes the token on bookmark / complete / abandon; </w:t>
      </w:r>
      <w:r>
        <w:rPr>
          <w:rFonts w:ascii="Consolas" w:hAnsi="Consolas"/>
          <w:color w:val="8B6324"/>
        </w:rPr>
        <w:t>Sprint.tsx</w:t>
      </w:r>
      <w:r>
        <w:t xml:space="preserve"> holds it in state, and on </w:t>
      </w:r>
      <w:r>
        <w:rPr>
          <w:rFonts w:ascii="Consolas" w:hAnsi="Consolas"/>
          <w:color w:val="8B6324"/>
        </w:rPr>
        <w:t>stale_session</w:t>
      </w:r>
      <w:r>
        <w:t xml:space="preserve"> swaps the step card for a "This sprint moved ahead in another tab — refresh to continue" alert (warning-toned, with a Refresh button); step actions hide until refresh.</w:t>
      </w:r>
    </w:p>
    <w:p>
      <w:pPr>
        <w:pStyle w:val="ListBullet"/>
      </w:pPr>
      <w:r>
        <w:rPr>
          <w:b/>
        </w:rPr>
        <w:t>Admin spend view</w:t>
      </w:r>
      <w:r>
        <w:t xml:space="preserve">: new </w:t>
      </w:r>
      <w:r>
        <w:rPr>
          <w:rFonts w:ascii="Consolas" w:hAnsi="Consolas"/>
          <w:color w:val="8B6324"/>
        </w:rPr>
        <w:t>admin-spend</w:t>
      </w:r>
      <w:r>
        <w:t xml:space="preserve"> Edge Function (requireAdmin — admin or owner, matching the Should-Have story) aggregating model_usage in-memory over a 7/30/90-day window with bounded pagination; </w:t>
      </w:r>
      <w:r>
        <w:rPr>
          <w:rFonts w:ascii="Consolas" w:hAnsi="Consolas"/>
          <w:color w:val="8B6324"/>
        </w:rPr>
        <w:t>getSpend</w:t>
      </w:r>
      <w:r>
        <w:t xml:space="preserve"> in admin-api; a Spend tab in the Admin panel (visible to admins, unlike the owner-only tabs): four totals cards (all-in total, Haiku, Sonnet 4.6, separable web-search component with a blended-rows caveat for pre-column history) + a by-day × call-type × model table with calls, tokens, searches, cost.</w:t>
      </w:r>
    </w:p>
    <w:p>
      <w:pPr>
        <w:pStyle w:val="ListBullet"/>
      </w:pPr>
      <w:r>
        <w:t>Functions redeployed: sessions, admin-spend, market-grounding, blind-spots, interview-guide, assumption-mapping (shared usage.ts change).</w:t>
      </w:r>
    </w:p>
    <w:p>
      <w:pPr>
        <w:pStyle w:val="Heading2"/>
      </w:pPr>
      <w:r>
        <w:t>4. Verification record</w:t>
      </w:r>
    </w:p>
    <w:p>
      <w:r>
        <w:t>All checks ran against the live ada-coach-01 backend on 2026-07-04/05 as a brand-new NON-owner test user created for this run, then deleted.</w:t>
      </w:r>
    </w:p>
    <w:p>
      <w:r>
        <w:rPr>
          <w:b/>
        </w:rPr>
        <w:t>Fix 1 — storage policies (+ the Run 1 "file-mode ingest untested" gap, closed):</w:t>
      </w:r>
      <w:r>
        <w:t xml:space="preserve"> upload to the user's own folder in the </w:t>
      </w:r>
      <w:r>
        <w:rPr>
          <w:rFonts w:ascii="Consolas" w:hAnsi="Consolas"/>
          <w:color w:val="8B6324"/>
        </w:rPr>
        <w:t>documents</w:t>
      </w:r>
      <w:r>
        <w:t xml:space="preserve"> bucket → 200 (was owner-only before this run; live pg_policies captured before the change are in §2). Upload to a FOREIGN user's folder → rejected (path scoping intact). Session-scoped </w:t>
      </w:r>
      <w:r>
        <w:rPr>
          <w:rFonts w:ascii="Consolas" w:hAnsi="Consolas"/>
          <w:color w:val="8B6324"/>
        </w:rPr>
        <w:t>documents</w:t>
      </w:r>
      <w:r>
        <w:t xml:space="preserve"> row created via the Run 1 RLS policy, then </w:t>
      </w:r>
      <w:r>
        <w:rPr>
          <w:rFonts w:ascii="Consolas" w:hAnsi="Consolas"/>
          <w:color w:val="8B6324"/>
        </w:rPr>
        <w:t>ingest { document_id }</w:t>
      </w:r>
      <w:r>
        <w:t xml:space="preserve"> on the uploaded file → 200, 1 chunk, status ready — the first end-to-end file-mode ingest, and by a non-owner. The user later deleted their own object via the Storage API (exercising the new DELETE policy).</w:t>
      </w:r>
    </w:p>
    <w:p>
      <w:r>
        <w:rPr>
          <w:b/>
        </w:rPr>
        <w:t>Fix 2 — spend view:</w:t>
      </w:r>
      <w:r>
        <w:t xml:space="preserve"> </w:t>
      </w:r>
      <w:r>
        <w:rPr>
          <w:rFonts w:ascii="Consolas" w:hAnsi="Consolas"/>
          <w:color w:val="8B6324"/>
        </w:rPr>
        <w:t>admin-spend</w:t>
      </w:r>
      <w:r>
        <w:t xml:space="preserve"> as a plain user → 403 Forbidden. After elevating the test user to </w:t>
      </w:r>
      <w:r>
        <w:rPr>
          <w:rFonts w:ascii="Consolas" w:hAnsi="Consolas"/>
          <w:color w:val="8B6324"/>
        </w:rPr>
        <w:t>admin</w:t>
      </w:r>
      <w:r>
        <w:t xml:space="preserve"> (not owner): the Spend tab rendered totals matching the SQL ground truth exactly — Total $0.29 / 3 calls, Haiku $0.0003, Sonnet 4.6 $0.29, Web search $0.0500 · 5 searches labeled "included in Sonnet total" — and the by-day table showed the three call types with correct tokens/searches/costs. Owner-only tabs stayed hidden for the admin role.</w:t>
      </w:r>
    </w:p>
    <w:p>
      <w:r>
        <w:rPr>
          <w:b/>
        </w:rPr>
        <w:t>Fix 3 — two-tab guard:</w:t>
      </w:r>
      <w:r>
        <w:t xml:space="preserve"> PATCH with the current </w:t>
      </w:r>
      <w:r>
        <w:rPr>
          <w:rFonts w:ascii="Consolas" w:hAnsi="Consolas"/>
          <w:color w:val="8B6324"/>
        </w:rPr>
        <w:t>updated_at</w:t>
      </w:r>
      <w:r>
        <w:t xml:space="preserve"> → 200, step saved, token advanced. PATCH with the now-stale token → </w:t>
      </w:r>
      <w:r>
        <w:rPr>
          <w:b/>
        </w:rPr>
        <w:t>409 stale_session</w:t>
      </w:r>
      <w:r>
        <w:t xml:space="preserve"> with the refresh-to-continue detail, and a follow-up GET proved the stale write did not land (step remained the newer one). The client-side banner is code-reviewed + type-checked; the server contract it renders from is what was verified live.</w:t>
      </w:r>
    </w:p>
    <w:p>
      <w:r>
        <w:rPr>
          <w:b/>
        </w:rPr>
        <w:t>Fix 4 — model_usage rows read directly (the Run 2 gap):</w:t>
      </w:r>
      <w:r>
        <w:t xml:space="preserve"> one real assumption-mapping and one real market-grounding call as the test user, then the rows were SELECTed and every cost recomputed independently in SQL: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call_type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tokens in/out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searches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cost_usd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recomputed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match</w:t>
            </w:r>
          </w:p>
        </w:tc>
      </w:tr>
      <w:tr>
        <w:tc>
          <w:tcPr>
            <w:tcW w:type="dxa" w:w="1234"/>
          </w:tcPr>
          <w:p>
            <w:r>
              <w:t>stage_classification</w:t>
            </w:r>
          </w:p>
        </w:tc>
        <w:tc>
          <w:tcPr>
            <w:tcW w:type="dxa" w:w="1234"/>
          </w:tcPr>
          <w:p>
            <w:r>
              <w:t>claude-haiku-4-5</w:t>
            </w:r>
          </w:p>
        </w:tc>
        <w:tc>
          <w:tcPr>
            <w:tcW w:type="dxa" w:w="1234"/>
          </w:tcPr>
          <w:p>
            <w:r>
              <w:t>185 / 24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0.000305</w:t>
            </w:r>
          </w:p>
        </w:tc>
        <w:tc>
          <w:tcPr>
            <w:tcW w:type="dxa" w:w="1234"/>
          </w:tcPr>
          <w:p>
            <w:r>
              <w:t>0.000305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assumption_mapping</w:t>
            </w:r>
          </w:p>
        </w:tc>
        <w:tc>
          <w:tcPr>
            <w:tcW w:type="dxa" w:w="1234"/>
          </w:tcPr>
          <w:p>
            <w:r>
              <w:t>claude-sonnet-4-6</w:t>
            </w:r>
          </w:p>
        </w:tc>
        <w:tc>
          <w:tcPr>
            <w:tcW w:type="dxa" w:w="1234"/>
          </w:tcPr>
          <w:p>
            <w:r>
              <w:t>357 / 524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0.008931</w:t>
            </w:r>
          </w:p>
        </w:tc>
        <w:tc>
          <w:tcPr>
            <w:tcW w:type="dxa" w:w="1234"/>
          </w:tcPr>
          <w:p>
            <w:r>
              <w:t>0.008931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market_grounding</w:t>
            </w:r>
          </w:p>
        </w:tc>
        <w:tc>
          <w:tcPr>
            <w:tcW w:type="dxa" w:w="1234"/>
          </w:tcPr>
          <w:p>
            <w:r>
              <w:t>claude-sonnet-4-6</w:t>
            </w:r>
          </w:p>
        </w:tc>
        <w:tc>
          <w:tcPr>
            <w:tcW w:type="dxa" w:w="1234"/>
          </w:tcPr>
          <w:p>
            <w:r>
              <w:t>57,158 / 4,004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t>0.281534</w:t>
            </w:r>
          </w:p>
        </w:tc>
        <w:tc>
          <w:tcPr>
            <w:tcW w:type="dxa" w:w="1234"/>
          </w:tcPr>
          <w:p>
            <w:r>
              <w:t>0.281534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</w:tbl>
    <w:p>
      <w:r>
        <w:t>The market_grounding figure decomposes to $0.231534 of tokens + $0.050 of searches (5 × $0.01) — the new column records the count and the fold-in math is exact. No Fable/Mythos-tier model appears anywhere (the DB CHECK also still refuses them).</w:t>
      </w:r>
    </w:p>
    <w:p>
      <w:r>
        <w:rPr>
          <w:b/>
        </w:rPr>
        <w:t>Static:</w:t>
      </w:r>
      <w:r>
        <w:t xml:space="preserve"> 32/32 Vitest, </w:t>
      </w:r>
      <w:r>
        <w:rPr>
          <w:rFonts w:ascii="Consolas" w:hAnsi="Consolas"/>
          <w:color w:val="8B6324"/>
        </w:rPr>
        <w:t>type-check</w:t>
      </w:r>
      <w:r>
        <w:t xml:space="preserve"> clean, production build clean. Cleanup: test user deleted; zero residue (the only surviving document row is Mo's own pre-existing global-corpus PDF, untouched).</w:t>
      </w:r>
    </w:p>
    <w:p>
      <w:pPr>
        <w:pStyle w:val="Heading2"/>
      </w:pPr>
      <w:r>
        <w:t>5. Could not verify / known gaps</w:t>
      </w:r>
    </w:p>
    <w:p>
      <w:pPr>
        <w:pStyle w:val="ListBullet"/>
      </w:pPr>
      <w:r>
        <w:t xml:space="preserve">The </w:t>
      </w:r>
      <w:r>
        <w:rPr>
          <w:b/>
        </w:rPr>
        <w:t>stale-tab UI banner</w:t>
      </w:r>
      <w:r>
        <w:t xml:space="preserve"> was not driven end-to-end in a browser (that needs two live tabs); the 409 contract it consumes was verified over the API and the rendering path is the same InlineError pattern the rest of the sprint uses. First real two-tab collision will show it.</w:t>
      </w:r>
    </w:p>
    <w:p>
      <w:pPr>
        <w:pStyle w:val="ListBullet"/>
      </w:pPr>
      <w:r>
        <w:t xml:space="preserve">The first market-grounding attempt of the verification script left </w:t>
      </w:r>
      <w:r>
        <w:rPr>
          <w:b/>
        </w:rPr>
        <w:t>no server log entry</w:t>
      </w:r>
      <w:r>
        <w:t xml:space="preserve"> — a client-side fetch failure before the request reached Supabase; the retry succeeded. Consistent with the per-assumption retry design, but worth remembering that grounding calls can fail client-side on slow networks.</w:t>
      </w:r>
    </w:p>
    <w:p>
      <w:pPr>
        <w:pStyle w:val="ListBullet"/>
      </w:pPr>
      <w:r>
        <w:t>Historical market_grounding rows (Run 2's E2E) were deleted with their test user, so the "blended (count unrecorded)" label in the spend view has no live example yet; the code path is unit-reviewed.</w:t>
      </w:r>
    </w:p>
    <w:p>
      <w:pPr>
        <w:pStyle w:val="ListBullet"/>
      </w:pPr>
      <w:r>
        <w:t>A pre-existing React key warning in Admin's ConversationsTab (Run 1 code) surfaced in dev console during verification — not touched, noted for the backlog.</w:t>
      </w:r>
    </w:p>
    <w:p>
      <w:pPr>
        <w:pStyle w:val="ListBullet"/>
      </w:pPr>
      <w:r>
        <w:rPr>
          <w:rFonts w:ascii="Consolas" w:hAnsi="Consolas"/>
          <w:color w:val="8B6324"/>
        </w:rPr>
        <w:t>sessions.updated_at</w:t>
      </w:r>
      <w:r>
        <w:t xml:space="preserve"> changes on any column write, so the guard can 409 on a technically-compatible concurrent write (e.g., two tabs saving the same step). That strictness is intentional: refresh is cheap, silent overwrite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