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400"/>
              <w:left w:type="dxa" w:w="800"/>
              <w:bottom w:type="dxa" w:w="1400"/>
              <w:right w:type="dxa" w:w="800"/>
            </w:tcMar>
            <w:vAlign w:val="center"/>
          </w:tcPr>
          <w:p>
            <w:pPr>
              <w:spacing w:after="120" w:before="0"/>
              <w:jc w:val="left"/>
            </w:pPr>
            <w:r>
              <w:rPr>
                <w:b/>
                <w:bCs/>
                <w:color w:val="D4AF37"/>
                <w:sz w:val="22"/>
                <w:szCs w:val="22"/>
              </w:rPr>
              <w:t xml:space="preserve">ATHERIS LIMITED</w:t>
            </w:r>
          </w:p>
          <w:p>
            <w:pPr>
              <w:spacing w:after="80" w:before="0"/>
              <w:jc w:val="left"/>
            </w:pPr>
            <w:r>
              <w:rPr>
                <w:color w:val="FFFFFF"/>
                <w:sz w:val="22"/>
                <w:szCs w:val="22"/>
              </w:rPr>
              <w:t xml:space="preserve">Governance, Risk &amp; Compliance Platform</w:t>
            </w:r>
          </w:p>
          <w:p>
            <w:pPr>
              <w:spacing w:after="160" w:before="420"/>
              <w:jc w:val="left"/>
            </w:pPr>
            <w:r>
              <w:rPr>
                <w:b/>
                <w:bCs/>
                <w:color w:val="FFFFFF"/>
                <w:sz w:val="46"/>
                <w:szCs w:val="46"/>
              </w:rPr>
              <w:t xml:space="preserve">IT &amp; Security Risk Management and Governance</w:t>
            </w:r>
          </w:p>
          <w:p>
            <w:pPr>
              <w:spacing w:after="120" w:before="0"/>
              <w:jc w:val="left"/>
            </w:pPr>
            <w:r>
              <w:rPr>
                <w:b/>
                <w:bCs/>
                <w:color w:val="D4AF37"/>
                <w:sz w:val="34"/>
                <w:szCs w:val="34"/>
              </w:rPr>
              <w:t xml:space="preserve">Competitive Gap Analysis &amp; Strategy to Lead Africa</w:t>
            </w:r>
          </w:p>
          <w:p>
            <w:pPr>
              <w:spacing w:after="480" w:before="80"/>
              <w:jc w:val="left"/>
            </w:pPr>
            <w:r>
              <w:rPr>
                <w:i/>
                <w:iCs/>
                <w:color w:val="FFFFFF"/>
                <w:sz w:val="20"/>
                <w:szCs w:val="20"/>
              </w:rPr>
              <w:t xml:space="preserve">Benchmarked against Archer, ServiceNow IRM, MetricStream CyberGRC, LogicGate Risk Cloud, OneTrust Tech Risk &amp; Compliance, Fusion Risk Management, Diligent and SAI360.</w:t>
            </w:r>
          </w:p>
          <w:p>
            <w:pPr>
              <w:jc w:val="left"/>
            </w:pPr>
            <w:r>
              <w:rPr>
                <w:color w:val="FFFFFF"/>
                <w:sz w:val="20"/>
                <w:szCs w:val="20"/>
              </w:rPr>
              <w:t xml:space="preserve">Version 1.0  |  April 2026</w:t>
            </w:r>
          </w:p>
          <w:p>
            <w:pPr>
              <w:jc w:val="left"/>
            </w:pPr>
            <w:r>
              <w:rPr>
                <w:color w:val="D4AF37"/>
                <w:sz w:val="18"/>
                <w:szCs w:val="18"/>
              </w:rPr>
              <w:t xml:space="preserve">Classification: CONFIDENTIAL — Atheris Limited</w:t>
            </w:r>
          </w:p>
          <w:p>
            <w:pPr>
              <w:jc w:val="left"/>
            </w:pPr>
            <w:r>
              <w:rPr>
                <w:color w:val="FFFFFF"/>
                <w:sz w:val="18"/>
                <w:szCs w:val="18"/>
              </w:rPr>
              <w:t xml:space="preserve">Prepared by: Atheris Product Strategy</w:t>
            </w:r>
          </w:p>
        </w:tc>
      </w:tr>
    </w:tbl>
    <w:p>
      <w:r>
        <w:br w:type="page"/>
      </w:r>
    </w:p>
    <w:p>
      <w:pPr>
        <w:pStyle w:val="Heading1"/>
        <w:spacing w:after="180" w:before="360"/>
      </w:pPr>
      <w:r>
        <w:rPr>
          <w:b/>
          <w:bCs/>
          <w:color w:val="D4AF37"/>
          <w:sz w:val="32"/>
          <w:szCs w:val="32"/>
        </w:rPr>
        <w:t xml:space="preserve">1.  </w:t>
      </w:r>
      <w:r>
        <w:rPr>
          <w:b/>
          <w:bCs/>
          <w:color w:val="1A365D"/>
          <w:sz w:val="32"/>
          <w:szCs w:val="32"/>
        </w:rPr>
        <w:t xml:space="preserve">Executive Summary</w:t>
      </w:r>
    </w:p>
    <w:p>
      <w:pPr>
        <w:spacing w:after="80" w:before="80"/>
      </w:pPr>
      <w:r>
        <w:rPr>
          <w:color w:val="2D3748"/>
          <w:sz w:val="22"/>
          <w:szCs w:val="22"/>
        </w:rPr>
        <w:t xml:space="preserve">Atheris has an unmatched ambition for the Nigerian and African ITSRM&amp;G market — and an unusual right to pursue it. The current platform covers the breadth of an IT &amp; cyber risk management suite (Risk Register, Asset Register, Controls, Policies, Incidents, Vendors, BCP, Vulnerabilities, Compliance, PCI, ISMS, Continuous Controls Monitoring and IT Regulatory Management) and layers an emerging CBN Cybersecurity Self-Assessment (CBN-CSAT) module that is unique in the world.</w:t>
      </w:r>
    </w:p>
    <w:p>
      <w:pPr>
        <w:spacing w:after="80" w:before="80"/>
      </w:pPr>
      <w:r>
        <w:rPr>
          <w:color w:val="2D3748"/>
          <w:sz w:val="22"/>
          <w:szCs w:val="22"/>
        </w:rPr>
        <w:t xml:space="preserve">When benchmarked against the eight global leaders — Archer, ServiceNow IRM, MetricStream CyberGRC, LogicGate Risk Cloud, OneTrust Tech Risk &amp; Compliance, Fusion Risk Management, Diligent and SAI360 — Atheris is behind on three axes (asset discovery and SIEM/SOAR depth, low-code workflow configurability, and AI copilots) but ahead or structurally advantaged on five (CBN/NDPA/NAICOM regulatory fit, air-gapped Nigerian deployment, Naira pricing, local partners, and the CBN-CSAT itself). Closing the parity gaps while doubling down on the differentiation axes delivers category leadership in Africa within 18 months.</w:t>
      </w:r>
    </w:p>
    <w:p>
      <w:pPr>
        <w:pStyle w:val="Heading2"/>
        <w:spacing w:after="120" w:before="240"/>
      </w:pPr>
      <w:r>
        <w:rPr>
          <w:b/>
          <w:bCs/>
          <w:color w:val="1A365D"/>
          <w:sz w:val="26"/>
          <w:szCs w:val="26"/>
        </w:rPr>
        <w:t xml:space="preserve">Top 10 strategic moves to lead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Strategic Move</w:t>
            </w:r>
          </w:p>
        </w:tc>
        <w:tc>
          <w:tcPr>
            <w:tcW w:type="dxa" w:w="5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Why it wins Africa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8"/>
                <w:szCs w:val="18"/>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Weaponise the CBN-CSAT module as the Trojan horse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The CBN Cybersecurity Self-Assessment is a mandatory annual submission with zero digital solution today. Bundle CBN-CSAT free at every tier to win every CBN-regulated institution within 24 months. No global competitor can match this in under 18 months because none understand the FFIEC-CAT-Nigeria variant.</w:t>
            </w:r>
          </w:p>
        </w:tc>
      </w:tr>
      <w:tr>
        <w:tc>
          <w:tcPr>
            <w:tcW w:type="dxa" w:w="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8"/>
                <w:szCs w:val="18"/>
              </w:rPr>
              <w:t xml:space="preserve">2</w:t>
            </w:r>
          </w:p>
        </w:tc>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Ship an Atheris Unified Control Set (AUCS) mapped to every African regulator</w:t>
            </w:r>
          </w:p>
        </w:tc>
        <w:tc>
          <w:tcPr>
            <w:tcW w:type="dxa" w:w="5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Build a canonical 400-control spine mapped to CBN RBCSF, NDPA, NDPR, NAICOM ERM, PENCOM, SARB, CBK, BoG, Bank Al-Maghrib and all major global frameworks. "Comply once, report many" is the single biggest productivity story in GRC and no one has done it well in Africa.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8"/>
                <w:szCs w:val="18"/>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Air-gapped and on-prem first-class deployment</w:t>
            </w:r>
          </w:p>
        </w:tc>
        <w:tc>
          <w:tcPr>
            <w:tcW w:type="dxa" w:w="5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CBN data-localisation expectations, NDPC processor rules and internal security policies bar most global SaaS. Offer a supported Kubernetes air-gapped bundle and certified Nigerian hosting partners (Galaxy Backbone, MainOne, Rack Centre). Structural advantage vs. ServiceNow, LogicGate, OneTrust, SAI360, Diligent.</w:t>
            </w:r>
          </w:p>
        </w:tc>
      </w:tr>
      <w:tr>
        <w:tc>
          <w:tcPr>
            <w:tcW w:type="dxa" w:w="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8"/>
                <w:szCs w:val="18"/>
              </w:rPr>
              <w:t xml:space="preserve">4</w:t>
            </w:r>
          </w:p>
        </w:tc>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Build the Atheris Regulatory Intelligence feed</w:t>
            </w:r>
          </w:p>
        </w:tc>
        <w:tc>
          <w:tcPr>
            <w:tcW w:type="dxa" w:w="5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A content-ops team ingesting CBN, NDPC, SEC Nigeria, NCC, NAICOM, PENCOM, NDIC, SARB, CBK, BoG circulars daily. Deliver an LLM-summarised obligations horizon scanner with auto-impact on the client's policies, controls and risks. Sells itself to Heads of Compliance.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8"/>
                <w:szCs w:val="18"/>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Launch Atheris Copilot with Claude via Prism</w:t>
            </w:r>
          </w:p>
        </w:tc>
        <w:tc>
          <w:tcPr>
            <w:tcW w:type="dxa" w:w="5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A natural-language GRC assistant that lets any executive ask 'show me overdue critical risks in Channels Banking with no compensating controls'. Multilingual (English, French, Portuguese, Arabic, Swahili). This is the table-stakes of 2027 and we can ship it faster than Archer or MetricStream can rebuild their architectures.</w:t>
            </w:r>
          </w:p>
        </w:tc>
      </w:tr>
      <w:tr>
        <w:tc>
          <w:tcPr>
            <w:tcW w:type="dxa" w:w="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8"/>
                <w:szCs w:val="18"/>
              </w:rPr>
              <w:t xml:space="preserve">6</w:t>
            </w:r>
          </w:p>
        </w:tc>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Own the Nigerian vendor directory (shared TPRM)</w:t>
            </w:r>
          </w:p>
        </w:tc>
        <w:tc>
          <w:tcPr>
            <w:tcW w:type="dxa" w:w="5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Interswitch, NIBSS, CSCS, FMDQ, Unified Payments, e-Tranzact, Teamapt are shared vendors for every Nigerian bank. Maintain a baseline due-diligence pack in Atheris that every client can consume — creates a network effect no global player can replicate.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8"/>
                <w:szCs w:val="18"/>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Become the operating system for Nigerian regulator returns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Auto-generate CBN cybersecurity returns, NDPC audit reports, NDIC outsourcing notifications, NFIU SAR/STR, FIRS cyber-risk disclosures, and SEC cyber-incident filings from the same risk and control data. Position Atheris as mandatory infrastructure.</w:t>
            </w:r>
          </w:p>
        </w:tc>
      </w:tr>
      <w:tr>
        <w:tc>
          <w:tcPr>
            <w:tcW w:type="dxa" w:w="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8"/>
                <w:szCs w:val="18"/>
              </w:rPr>
              <w:t xml:space="preserve">8</w:t>
            </w:r>
          </w:p>
        </w:tc>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Continuous Controls Monitoring (CCM) with day-one content</w:t>
            </w:r>
          </w:p>
        </w:tc>
        <w:tc>
          <w:tcPr>
            <w:tcW w:type="dxa" w:w="5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Ship 40+ pre-built automated control tests for CBN RBCSF, NDPA and PCI-DSS pulling from AD/Entra, AWS Config, Defender, Tenable and Okta. MetricStream and Archer sell CCM as bespoke; Atheris ships it as templated.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8"/>
                <w:szCs w:val="18"/>
              </w:rPr>
              <w:t xml:space="preserve">9</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Core-banking and switch integrations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Pre-built read adapters for Finacle, Flexcube, T24, BankOne, Interswitch Quickteller and NIBSS NIP. Unique in the global market. Turns Atheris from GRC platform into genuine IT risk intelligence.</w:t>
            </w:r>
          </w:p>
        </w:tc>
      </w:tr>
      <w:tr>
        <w:tc>
          <w:tcPr>
            <w:tcW w:type="dxa" w:w="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8"/>
                <w:szCs w:val="18"/>
              </w:rPr>
              <w:t xml:space="preserve">10</w:t>
            </w:r>
          </w:p>
        </w:tc>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Naira pricing, CAPEX terms, and local implementation partners</w:t>
            </w:r>
          </w:p>
        </w:tc>
        <w:tc>
          <w:tcPr>
            <w:tcW w:type="dxa" w:w="5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List-price in Naira at 10–20x below USD-denominated competitors. Certify 5 Nigerian and 3 East/Southern African implementation partners (KPMG Nigeria, PwC Nigeria, Deloitte WA, Phillips Consulting, Cybervergent, Strathmore Business School, BDO South Africa). Own the procurement path.</w:t>
            </w:r>
          </w:p>
        </w:tc>
      </w:tr>
    </w:tbl>
    <w:p>
      <w:pPr>
        <w:spacing w:after="80" w:before="80"/>
      </w:pPr>
      <w:r>
        <w:rPr>
          <w:color w:val="2D3748"/>
          <w:sz w:val="22"/>
          <w:szCs w:val="22"/>
        </w:rPr>
        <w:t xml:space="preserve">Taken together these ten moves deliver (a) table-stakes parity with any global competitor on the core ITSRM&amp;G functional surface, (b) leapfrog differentiation in regulatory content, deployment, pricing and AI, and (c) structural moats (local hosting, local partners, shared vendor directory, regulator-specific returns) that no global player can match without a multi-year Africa strategy.</w:t>
      </w:r>
    </w:p>
    <w:p>
      <w:pPr>
        <w:pStyle w:val="Heading2"/>
        <w:spacing w:after="120" w:before="240"/>
      </w:pPr>
      <w:r>
        <w:rPr>
          <w:b/>
          <w:bCs/>
          <w:color w:val="1A365D"/>
          <w:sz w:val="26"/>
          <w:szCs w:val="26"/>
        </w:rPr>
        <w:t xml:space="preserve">Benchmark set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Platform</w:t>
            </w:r>
          </w:p>
        </w:tc>
        <w:tc>
          <w:tcPr>
            <w:tcW w:type="dxa" w:w="3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Sweet spot today</w:t>
            </w:r>
          </w:p>
        </w:tc>
        <w:tc>
          <w:tcPr>
            <w:tcW w:type="dxa" w:w="35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Notable weakness in the African market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Archer (IT &amp; Security Risk Management)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Deepest IT-risk content library and audit-defensible records for large regulated enterprises.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Legacy UX, heavy configuration services (USD 500k+), USD-only billing, no African regulator packs.</w:t>
            </w:r>
          </w:p>
        </w:tc>
      </w:tr>
      <w:tr>
        <w:tc>
          <w:tcPr>
            <w:tcW w:type="dxa" w:w="2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ServiceNow IRM &amp; SecOps</w:t>
            </w:r>
          </w:p>
        </w:tc>
        <w:tc>
          <w:tcPr>
            <w:tcW w:type="dxa" w:w="3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Best-in-class SIEM/SOAR integration, CMDB and enterprise workflows for ServiceNow-standardised estates.</w:t>
            </w:r>
          </w:p>
        </w:tc>
        <w:tc>
          <w:tcPr>
            <w:tcW w:type="dxa" w:w="3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SaaS-only, minimum USD 300–500k commitments, no African regulator fit, limited on-prem.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MetricStream CyberGRC</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Broad content across cyber risk, third-party and compliance; strong in Indian and Middle-Eastern banks.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Implementation lead time 20–48 weeks, dated UI, no CBN/NDPA packs, no Naira pricing.</w:t>
            </w:r>
          </w:p>
        </w:tc>
      </w:tr>
      <w:tr>
        <w:tc>
          <w:tcPr>
            <w:tcW w:type="dxa" w:w="2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LogicGate Risk Cloud (Cyber Risk)</w:t>
            </w:r>
          </w:p>
        </w:tc>
        <w:tc>
          <w:tcPr>
            <w:tcW w:type="dxa" w:w="3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Low-code workflow builder, modern UX, fast time to value.</w:t>
            </w:r>
          </w:p>
        </w:tc>
        <w:tc>
          <w:tcPr>
            <w:tcW w:type="dxa" w:w="3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Cyber content pack lags MetricStream/Archer; SaaS-only; USD billing; no African regulator depth.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OneTrust Tech Risk &amp; Compliance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Unrivalled framework library (300+) via SCF; strong automation for privacy-led organisations.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Cyber risk depth trails Archer/ServiceNow; SaaS-only; USD-billed; no Nigerian content.</w:t>
            </w:r>
          </w:p>
        </w:tc>
      </w:tr>
      <w:tr>
        <w:tc>
          <w:tcPr>
            <w:tcW w:type="dxa" w:w="2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Fusion Risk Management</w:t>
            </w:r>
          </w:p>
        </w:tc>
        <w:tc>
          <w:tcPr>
            <w:tcW w:type="dxa" w:w="3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Category leader for BCM/operational resilience with deep dependency modelling.</w:t>
            </w:r>
          </w:p>
        </w:tc>
        <w:tc>
          <w:tcPr>
            <w:tcW w:type="dxa" w:w="3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Weak on cyber risk and control testing; SaaS-only; USD-billed; no Nigerian fit.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Diligent (HighBond / Galvanize)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Popular with internal audit and board governance; strong board-reporting packs.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Shallow in operational cyber risk workflows; SaaS-only; US-centric content.</w:t>
            </w:r>
          </w:p>
        </w:tc>
      </w:tr>
      <w:tr>
        <w:tc>
          <w:tcPr>
            <w:tcW w:type="dxa" w:w="2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SAI360</w:t>
            </w:r>
          </w:p>
        </w:tc>
        <w:tc>
          <w:tcPr>
            <w:tcW w:type="dxa" w:w="3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Mature EHS + GRC with strong European footprint.</w:t>
            </w:r>
          </w:p>
        </w:tc>
        <w:tc>
          <w:tcPr>
            <w:tcW w:type="dxa" w:w="3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Cyber-risk depth moderate; implementation-heavy; USD/EUR billing.</w:t>
            </w:r>
          </w:p>
        </w:tc>
      </w:tr>
    </w:tbl>
    <w:p>
      <w:pPr>
        <w:pStyle w:val="Heading1"/>
        <w:pageBreakBefore/>
        <w:spacing w:after="180" w:before="360"/>
      </w:pPr>
      <w:r>
        <w:rPr>
          <w:b/>
          <w:bCs/>
          <w:color w:val="D4AF37"/>
          <w:sz w:val="32"/>
          <w:szCs w:val="32"/>
        </w:rPr>
        <w:t xml:space="preserve">2.  </w:t>
      </w:r>
      <w:r>
        <w:rPr>
          <w:b/>
          <w:bCs/>
          <w:color w:val="1A365D"/>
          <w:sz w:val="32"/>
          <w:szCs w:val="32"/>
        </w:rPr>
        <w:t xml:space="preserve">Scope, methodology and how to read the matrix</w:t>
      </w:r>
    </w:p>
    <w:p>
      <w:pPr>
        <w:spacing w:after="80" w:before="80"/>
      </w:pPr>
      <w:r>
        <w:rPr>
          <w:color w:val="2D3748"/>
          <w:sz w:val="22"/>
          <w:szCs w:val="22"/>
        </w:rPr>
        <w:t xml:space="preserve">This report benchmarks Atheris' IT &amp; Security Risk Management and Governance (ITSRM&amp;G) solution against eight global platforms across 18 capability domains: IT Asset &amp; CI Register; IT &amp; Cyber Risk Assessment; Threat &amp; Vulnerability Management Integration; Control Library &amp; Framework Mapping; Control Testing &amp; Assurance; Policy &amp; Standards Lifecycle; Issue &amp; Remediation Management; Third-Party / Vendor Cyber Risk; Incident &amp; Cyber Event Management; Business Continuity &amp; IT DR Linkage; Regulatory Change Management; KRIs, Dashboards &amp; Executive Reporting; AI &amp; Automation; Architecture &amp; Deployment; Integrations &amp; APIs; UX, Workflow Engine &amp; Configurability; Localisation; and Pricing &amp; Commercial Model.</w:t>
      </w:r>
    </w:p>
    <w:p>
      <w:pPr>
        <w:pStyle w:val="Heading3"/>
        <w:spacing w:after="80" w:before="180"/>
      </w:pPr>
      <w:r>
        <w:rPr>
          <w:b/>
          <w:bCs/>
          <w:color w:val="2D3748"/>
          <w:sz w:val="22"/>
          <w:szCs w:val="22"/>
        </w:rPr>
        <w:t xml:space="preserve">Gap scale</w:t>
      </w:r>
    </w:p>
    <w:p>
      <w:pPr>
        <w:spacing w:after="80" w:before="80"/>
      </w:pPr>
      <w:r>
        <w:rPr>
          <w:color w:val="2D3748"/>
          <w:sz w:val="22"/>
          <w:szCs w:val="22"/>
        </w:rPr>
        <w:t xml:space="preserve">Each row is rated on a four-point gap scale — None, Minor, Moderate, Critical — reflecting the distance between Atheris' current capability and the capability expected of a market leader. Moderate and Critical gaps trigger a closure plan with recommended approach (build, partner or configure), T-shirt-sized effort (S / M / L / XL) and a call on whether closure is table-stakes parity or a leapfrog differentiator.</w:t>
      </w:r>
    </w:p>
    <w:p>
      <w:pPr>
        <w:pStyle w:val="Heading3"/>
        <w:spacing w:after="80" w:before="180"/>
      </w:pPr>
      <w:r>
        <w:rPr>
          <w:b/>
          <w:bCs/>
          <w:color w:val="2D3748"/>
          <w:sz w:val="22"/>
          <w:szCs w:val="22"/>
        </w:rPr>
        <w:t xml:space="preserve">Priority scale</w:t>
      </w:r>
    </w:p>
    <w:p>
      <w:pPr>
        <w:spacing w:after="80" w:before="80"/>
      </w:pPr>
      <w:r>
        <w:rPr>
          <w:color w:val="2D3748"/>
          <w:sz w:val="22"/>
          <w:szCs w:val="22"/>
        </w:rPr>
        <w:t xml:space="preserve">P0 = ship in the next six months (table-stakes for enterprise wins). P1 = ship in months 7–12 (differentiation or advanced parity). P2 = ship in months 13–18 (moat-building or nice-to-have).</w:t>
      </w:r>
    </w:p>
    <w:p>
      <w:pPr>
        <w:pStyle w:val="Heading3"/>
        <w:spacing w:after="80" w:before="180"/>
      </w:pPr>
      <w:r>
        <w:rPr>
          <w:b/>
          <w:bCs/>
          <w:color w:val="2D3748"/>
          <w:sz w:val="22"/>
          <w:szCs w:val="22"/>
        </w:rPr>
        <w:t xml:space="preserve">Current state inputs</w:t>
      </w:r>
    </w:p>
    <w:p>
      <w:pPr>
        <w:spacing w:after="80" w:before="80"/>
      </w:pPr>
      <w:r>
        <w:rPr>
          <w:color w:val="2D3748"/>
          <w:sz w:val="22"/>
          <w:szCs w:val="22"/>
        </w:rPr>
        <w:t xml:space="preserve">Assessment of Atheris' current state is derived from the existing Laravel codebase and business/technical requirements documents: confirmed models covering Risk, Risk Assessment, Risk Treatment, Risk Score History, Threats, Vulnerabilities, Vulnerability Tickets, Assets, Controls, Control Frameworks, Framework Requirements, Policies, Policy Versions, Policy Attestations, Policy Exceptions, Compliance Assessments, Compliance Results, Incidents, Incident Events, Incident Response Procedures, Data Breaches, Security Alerts, BCP Plans, BCP Tests, BIA Records, Vendors, Vendor Assessments, Patches and a scaffolded CBN-CSAT module (CBN Cybersecurity Self-Assessment Tool) with a 494-statement maturity engine.</w:t>
      </w:r>
    </w:p>
    <w:p>
      <w:pPr>
        <w:sectPr>
          <w:footerReference w:type="default" r:id="rId7"/>
          <w:pgSz w:w="12240" w:h="15840" w:orient="portrait"/>
          <w:pgMar w:top="1080" w:right="1080" w:bottom="1080" w:left="1080" w:header="400" w:footer="400" w:gutter="0"/>
          <w:pgNumType/>
          <w:docGrid w:linePitch="360"/>
        </w:sectPr>
      </w:pPr>
    </w:p>
    <w:p>
      <w:pPr>
        <w:pStyle w:val="Heading1"/>
        <w:spacing w:after="180" w:before="360"/>
      </w:pPr>
      <w:r>
        <w:rPr>
          <w:b/>
          <w:bCs/>
          <w:color w:val="D4AF37"/>
          <w:sz w:val="32"/>
          <w:szCs w:val="32"/>
        </w:rPr>
        <w:t xml:space="preserve">  </w:t>
      </w:r>
      <w:r>
        <w:rPr>
          <w:b/>
          <w:bCs/>
          <w:color w:val="1A365D"/>
          <w:sz w:val="32"/>
          <w:szCs w:val="32"/>
        </w:rPr>
        <w:t xml:space="preserve">Capability Gap Analysis Matrix</w:t>
      </w:r>
    </w:p>
    <w:p>
      <w:pPr>
        <w:spacing w:after="80" w:before="80"/>
      </w:pPr>
      <w:r>
        <w:rPr>
          <w:color w:val="2D3748"/>
          <w:sz w:val="22"/>
          <w:szCs w:val="22"/>
        </w:rPr>
        <w:t xml:space="preserve">The following 18 sections present the core capability gap analysis. Each section begins with a short context paragraph, the main gap matrix, and (where applicable) a closure plan covering Moderate and Critical gaps.</w:t>
      </w:r>
    </w:p>
    <w:p>
      <w:pPr>
        <w:pStyle w:val="Heading1"/>
        <w:pageBreakBefore/>
        <w:spacing w:after="180" w:before="360"/>
      </w:pPr>
      <w:r>
        <w:rPr>
          <w:b/>
          <w:bCs/>
          <w:color w:val="D4AF37"/>
          <w:sz w:val="32"/>
          <w:szCs w:val="32"/>
        </w:rPr>
        <w:t xml:space="preserve">D1.  </w:t>
      </w:r>
      <w:r>
        <w:rPr>
          <w:b/>
          <w:bCs/>
          <w:color w:val="1A365D"/>
          <w:sz w:val="32"/>
          <w:szCs w:val="32"/>
        </w:rPr>
        <w:t xml:space="preserve">IT Asset &amp; CI Register</w:t>
      </w:r>
    </w:p>
    <w:p>
      <w:pPr>
        <w:spacing w:after="80" w:before="80"/>
      </w:pPr>
      <w:r>
        <w:rPr>
          <w:color w:val="2D3748"/>
          <w:sz w:val="22"/>
          <w:szCs w:val="22"/>
        </w:rPr>
        <w:t xml:space="preserve">Foundational to all downstream risk, control, incident and vulnerability management. Leaders treat the asset register as a living graph synchronised with discovery tools, CMDB, identity and data classification — Atheris currently maintains a manual, authoritatively-owned register.</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Asset &amp; CI Register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Asset discovery &amp; auto-population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Archer, ServiceNow IRM and Fusion auto-ingest from ServiceNow CMDB, Tenable, Qualys, Lansweeper, AD/Entra, AWS/Azure/GCP tag scans. MetricStream and OneTrust offer vendor-side connectors for major CMDBs.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Manual Asset model with owner, classification, criticality and data sensitivity fields. No automated discovery or CMDB sync.</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Bi-directional connector pack: AD/Entra ID, Microsoft 365, AWS/Azure tag ingestion, Tenable/Qualys asset import, CSV bulk upload with de-dupe, and native CMDB adapter.</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Pre-built connectors for Finacle, T24, Flexcube, Banking-a-la-Carte, Interswitch Quickteller and NIBSS NIP — core-banking and switch assets matter more than generic CMDB in Africa.</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Asset &amp; CI Register</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Classification &amp; data owner mapping</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Leaders auto-classify by data sensitivity tags (PII, PCI, PHI) and map to business services, processes and data owners. OneTrust is strongest on data classification due to DataDiscovery heritage.</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Manual tagging of confidentiality, integrity, availability and data sensitivity on the Asset model with owner FK.</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NDPA/NDPR-aware classification schema (sensitive personal data, BVN/NIN, cardholder data, AML/PEP data) plus business-service mapping and a Register of Processing Activities (RoPA) cross-link.</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Nigerian data categories baked in (BVN, NIN, BVN-linked accounts, SIM data, MTD/KYC docs). RoPA view NDPC can accept without reformatting.</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Asset &amp; CI Register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Business service &amp; dependency graph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ServiceNow and Fusion show business-service dependency trees linking technical CIs → applications → business processes → products → customer journeys. Archer supports via Business Hierarchies add-on.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Flat asset table; no declared business-service or process hierarchy in the data model.</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Business capability + business-service + process + asset graph with impact propagation to Risk and BCP/BIA models.</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Pre-seeded reference model for Nigerian DMB product taxonomy (e-channels: USSD, mobile, Internet banking, agent banking, ATM, PoS, WhatsApp banking, cards).</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Asset discovery &amp; auto-population</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Partner-integrate with Tenable, Qualys, Rapid7 and Microsoft Defender; build native AD/Entra and AWS/Azure tag ingesters; license Device42 or Lansweeper OEM for on-prem CMDB discovery in Tier-2 banks that lack ServiceNow.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Business service &amp; dependency graph</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Extend data model with business_service, business_process and product tables; render as React-Flow dependency graph; propagate criticality to risk and BCP modules automatically.</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D2.  </w:t>
      </w:r>
      <w:r>
        <w:rPr>
          <w:b/>
          <w:bCs/>
          <w:color w:val="1A365D"/>
          <w:sz w:val="32"/>
          <w:szCs w:val="32"/>
        </w:rPr>
        <w:t xml:space="preserve">IT &amp; Cyber Risk Assessment</w:t>
      </w:r>
    </w:p>
    <w:p>
      <w:pPr>
        <w:spacing w:after="80" w:before="80"/>
      </w:pPr>
      <w:r>
        <w:rPr>
          <w:color w:val="2D3748"/>
          <w:sz w:val="22"/>
          <w:szCs w:val="22"/>
        </w:rPr>
        <w:t xml:space="preserve">Core engine of any ITSRM&amp;G product. Leaders converge on multi-methodology support (ISO 27005, NIST RMF, FAIR) and quantitative overlays. Atheris has RiskAssessment, RiskScoring and a FairQuantificationService — the scaffolding is right; depth and UX are the gap.</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Risk assessment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Risk taxonomy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Out-of-box risk taxonomies (cyber, tech, ops) with 3–5 levels and industry presets; MetricStream and Archer ship with the broadest libraries.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RiskCategory model with parent-child hierarchy; content depth varies by tenant.</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Pre-seeded CBN-aligned IT &amp; cyber risk taxonomy covering governance, tech, cyber, third-party, DP, physical, fraud and ops-tech risk plus Basel III op-risk mapping.</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Factory-shipped taxonomy mapped to CBN Risk-Based Cybersecurity Framework risk categories and to Basel II/III operational-risk event-type hierarchy that NDIC examiners already use.</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Risk assessment</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Inherent vs. residual scoring</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Leaders compute inherent score → control effectiveness uplift → residual score; allow scenario modelling; LogicGate and OneTrust have the cleanest UX.</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RiskScoringService with qualitative inherent and residual scoring; matrix configurable per organisation.</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Configurable 3x3, 4x4, 5x5 matrices; control-effectiveness uplift with documented rationale; what-if scenario slider.</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CBN-CSAT inherent-risk engine (47 criteria × 5 levels) feeding enterprise risk register as pre-baked inherent drivers — nothing global does this natively.</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Risk assessment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Threat–Vuln–Asset linkage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Archer, ServiceNow and Fusion link threats → vulnerabilities → assets → controls → risks; LogicGate uses cross-record lookups.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Threat, Vulnerability, Asset, Risk and Control models exist; linkage schema present but UX/reporting not fully surfaced.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End-to-end threat-event graph from MITRE ATT&amp;CK technique → affected asset class → open vulnerabilities → mitigating controls → residual risk, with a single drill-through view.</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Localised threat-event library covering African card fraud, SIM-swap, USSD-session hijack, BVN harvesting, agent-banking skimming.</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4</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Risk assessment</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FAIR / ISO 27005 / quant methods</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MetricStream, Archer and LogicGate offer native FAIR modules or integrations (LogicGate + RiskLens); ServiceNow ships basic quantification; SAI360 partners with RiskLens.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FairQuantificationService exists (stub); ISO 27005 methodology not explicitly configured as a guided workflow.</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Guided ISO 27005 assessment workflow; FAIR quant with loss-distribution Monte Carlo (at least 10k iterations) producing Annualised Loss Expectancy in Naira.</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Naira-denominated FAIR with CBN-published loss-frequency data and NDPC fine bands pre-modelled (NGN 10m to 2% of turnover).</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Risk taxonomy</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Ship a versioned 'CBN + Basel' reference taxonomy with tenant-level fork. Configure out of the box; no build needed for customers.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Threat–Vuln–Asset linkage</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Build a unified risk graph view (React-Flow or cytoscape.js). Write graph traversal APIs in the RiskScoringService. Auto-link on Vulnerability ingestion.</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FAIR / ISO 27005 / quant methods</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Complete FairQuantificationService with PERT/Monte Carlo; add ISO 27005 questionnaire template; expose Naira ALE chart on Risk detail page.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D3.  </w:t>
      </w:r>
      <w:r>
        <w:rPr>
          <w:b/>
          <w:bCs/>
          <w:color w:val="1A365D"/>
          <w:sz w:val="32"/>
          <w:szCs w:val="32"/>
        </w:rPr>
        <w:t xml:space="preserve">Threat &amp; Vulnerability Management Integration</w:t>
      </w:r>
    </w:p>
    <w:p>
      <w:pPr>
        <w:spacing w:after="80" w:before="80"/>
      </w:pPr>
      <w:r>
        <w:rPr>
          <w:color w:val="2D3748"/>
          <w:sz w:val="22"/>
          <w:szCs w:val="22"/>
        </w:rPr>
        <w:t xml:space="preserve">Leaders ingest scanner data at scale, correlate to assets and risks, and feed prioritisation engines. Our VulnerabilityTicket + Patch + SecurityAlert models are the right spine, but no scanner integrations are in production.</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VA / scanner ingestion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Scanner connectors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Native connectors to Tenable, Qualys, Rapid7 InsightVM, Nessus, Nexpose, Wiz, Microsoft Defender, CrowdStrike. ServiceNow and Archer are deepest.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VulnerabilityTicket model and vulnerability register; scanner ingestion not yet built.</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Native connector pack covering Tenable, Qualys, Nessus, Rapid7 and Microsoft Defender with STIX/TAXII import and CSV/JSON upload fallback.</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Pre-packaged ingestion from Nigerian/African MSSPs (Cybervergent, Infoprive, CyberPlural, Digital Encode, Ethnos Cyber, Paradigm Initiative) whose reports Tier-2 banks rely on instead of scanner APIs.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Threat intel</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Threat-intel feeds</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Integration with MISP, Recorded Future, Mandiant, Flashpoint, Anomali. ServiceNow SecOps and Archer SecOps are strongest.</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No built-in threat-intel feed ingestion.</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MISP + STIX/TAXII ingestion; paid feed adapters (Recorded Future, Mandiant); in-platform IOC registry.</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Native integration with ngCERT advisories, CBN ITSM circulars, NITDA threat advisories and African Union CERT feeds — none of which global players consume.</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Prioritisation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Exploit prioritisation &amp; SLA</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EPSS + CVSS + CISA KEV + asset criticality scoring; auto-SLA by severity × criticality. Strong in ServiceNow VR.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CVSS captured on Vulnerability; no EPSS/KEV enrichment or calculated SLA engine.</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Enrichment pipeline pulling EPSS, KEV and NVD data; configurable SLA engine; auto-escalation path to CISO when breached.</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SLA tiers pre-configured to CBN IT Standards and ngCERT guidance (Critical &lt;72h, High &lt;14d) so that examiners see expected remediation cadence out of the box.</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Scanner connectors</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Build Tenable, Qualys, Nessus and Defender ingestion workers as Laravel queued jobs; normalise to a VulnerabilityFinding table; dedupe on CVE+asset_id.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Threat-intel feeds</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Implement STIX/TAXII client; onboard MISP as the first feed; add paid-feed adapters behind feature flag; partner with ngCERT for low-cost licensing.</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Exploit prioritisation &amp; SLA</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Add EPSS/KEV enrichment via daily cron; write a prioritisation service combining score × asset criticality × exposure; surface as colour-coded queue.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D4.  </w:t>
      </w:r>
      <w:r>
        <w:rPr>
          <w:b/>
          <w:bCs/>
          <w:color w:val="1A365D"/>
          <w:sz w:val="32"/>
          <w:szCs w:val="32"/>
        </w:rPr>
        <w:t xml:space="preserve">Control Library &amp; Framework Mapping</w:t>
      </w:r>
    </w:p>
    <w:p>
      <w:pPr>
        <w:spacing w:after="80" w:before="80"/>
      </w:pPr>
      <w:r>
        <w:rPr>
          <w:color w:val="2D3748"/>
          <w:sz w:val="22"/>
          <w:szCs w:val="22"/>
        </w:rPr>
        <w:t xml:space="preserve">Multi-framework harmonisation is the competitive centrepiece for OneTrust, Archer and MetricStream. The customer benefit is 'answer once, satisfy many frameworks' — this is a place Atheris can leapfrog with an African-first multi-framework content pack.</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Control library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Pre-loaded frameworks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OneTrust ships 300+ frameworks with cross-mappings via SCF; Archer and MetricStream ship deep libraries; LogicGate via UCF integration.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ControlFramework and FrameworkRequirement models present; content population is project-dependent.</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Factory-shipped libraries: ISO/IEC 27001:2022, ISO/IEC 27002:2022, NIST CSF 2.0, NIST SP 800-53 rev 5, CIS Controls v8, COBIT 2019, PCI-DSS v4.0.1, CBN RBCSF, NDPA 2023, NDPR 2019, SWIFT CSCF v2025, Basel III Op-Risk, NAICOM ERM.</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Only Atheris can ship CBN RBCSF, NDPA 2023, NDPR 2019, NAICOM ERM, SEC Nigeria, NCC, PENCOM and NDIC cross-mappings with authoritative clause text out of the box.</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Harmonised control set</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Mapping engine &amp; overlap view</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Leaders implement Unified Compliance Framework (UCF) or Secure Controls Framework (SCF) as the canonical spine; provide 'comply once, report many' views.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Framework-to-framework mapping possible in schema but no canonical harmonised control set shipped.</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Build Atheris Unified Control Set (AUCS) — ~400 canonical controls, each mapped to every shipped framework; display coverage matrix; one attestation updates all framework positions.</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AUCS explicitly extends UCF/SCF with African controls (CBN RBCSF, NDPA, NAICOM, SARB Directive 3, CBK Kenya, BoG Ghana, Bank Al-Maghrib) that UCF/SCF do not cover well.</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Control-framework drift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Version tracking</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Leaders flag framework updates and migrate mappings automatically (e.g., CSF 1.1 → 2.0 upgrades).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framework version-upgrade workflow.</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Framework version registry with delta-migration wizard; prompt clients to re-attest only on changed clauses.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circular-ingest service pushes framework updates (e.g., new RBCSF annex) within 30 days of CBN issuance.</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Pre-loaded frameworks</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Package an ATHR-GRC content pack (configure-only). License SCF content; draft African clause texts in-house; maintain via a content-ops editorial team.</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Mapping engine &amp; overlap view</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Design canonical Control table with many-to-many links to FrameworkRequirement; implement coverage view using Laravel Livewire + DataTables; version controls in JSON schema.</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XL</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D5.  </w:t>
      </w:r>
      <w:r>
        <w:rPr>
          <w:b/>
          <w:bCs/>
          <w:color w:val="1A365D"/>
          <w:sz w:val="32"/>
          <w:szCs w:val="32"/>
        </w:rPr>
        <w:t xml:space="preserve">Control Testing &amp; Assurance</w:t>
      </w:r>
    </w:p>
    <w:p>
      <w:pPr>
        <w:spacing w:after="80" w:before="80"/>
      </w:pPr>
      <w:r>
        <w:rPr>
          <w:color w:val="2D3748"/>
          <w:sz w:val="22"/>
          <w:szCs w:val="22"/>
        </w:rPr>
        <w:t xml:space="preserve">Controls that are not tested are controls that do not exist. Leaders combine manual test plans, evidence vaults and continuous controls monitoring (CCM). Our continuous-controls monitoring page is scaffolded but not connected to live data sources.</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Design &amp; operating effectiveness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Test plans &amp; sampling</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Archer, MetricStream and SAI360 have mature design + operating effectiveness workflows with sampling wizards and statistical attribute sampling.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Control and ComplianceAssessment models support testing; sampling wizard not yet implemented.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Guided sampling wizard (random, stratified, judgmental); evidence request workflow; exception/issue auto-logging.</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Board Audit Committee-ready test report templates; NDIC-audit-ready evidence packs.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Evidence vault</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Document &amp; evidence management</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Immutable WORM storage, SharePoint/Google Drive/Box integrations, hash-verified chain-of-custody, retention policies.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Evidence model attaches files to assessments; no WORM/hash enforcement or retention engine.</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Evidence vault with SHA-256 hashing, immutable retention, S3 Object Lock or equivalent, and SharePoint/Box connectors.</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Air-gapped evidence vault option for banks under CBN data-localisation policy that bars SharePoint Online.</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Continuous controls monitoring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Automated control tests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ServiceNow IRM has the deepest native CCM (script-based tests against internal tools). Archer + SAP GRC via ACM; MetricStream via CCM module.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Continuous Controls Monitoring page exists (UI mock); integration/test runner not yet built.</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Scheduled automated control tests pulling signals from AD (privileged accounts), Okta (MFA coverage), AWS Config, Defender, Tenable, CrowdStrike; one test = one control assertion with evidence captured automatically.</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Pre-built CCM tests for CBN RBCSF, NDPA and PCI-DSS so a bank can go from zero to 40 automated control tests on day one.</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Continuous controls monitoring</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Build a CCM engine as Laravel scheduled jobs with connector interfaces (AD, Defender, AWS Config). Each test = PHP class implementing ControlTestContract. Surface pass/fail in the existing CCM page.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Evidence vault</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Use AWS S3 Object Lock (or MinIO on-prem for air-gapped tenants). Add hashing at upload. Implement retention schedules per framework.</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Test plans &amp; sampling</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Implement sampling wizard in Vue/Livewire; seed test templates for top 50 shipped controls.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D6.  </w:t>
      </w:r>
      <w:r>
        <w:rPr>
          <w:b/>
          <w:bCs/>
          <w:color w:val="1A365D"/>
          <w:sz w:val="32"/>
          <w:szCs w:val="32"/>
        </w:rPr>
        <w:t xml:space="preserve">Policy &amp; Standards Lifecycle Management</w:t>
      </w:r>
    </w:p>
    <w:p>
      <w:pPr>
        <w:spacing w:after="80" w:before="80"/>
      </w:pPr>
      <w:r>
        <w:rPr>
          <w:color w:val="2D3748"/>
          <w:sz w:val="22"/>
          <w:szCs w:val="22"/>
        </w:rPr>
        <w:t xml:space="preserve">Atheris already has Policy, PolicyVersion, PolicyAttestation and PolicyException models — this is a strength. The gap is AI-assisted authoring, analytics and enterprise-scale attestation campaigns.</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Authoring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Policy drafting &amp; review</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LogicGate, OneTrust and Diligent support in-app policy authoring, review workflows and version diffs. MetricStream ships a policy authoring studio.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Policy and PolicyVersion models; basic drafting workflow surfaced in the IT &amp; Security Policy Program Management module.</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Word-style in-app editor; track changes; side-by-side version diff; approval workflow by policy owner → CISO → Board Risk Committee.</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AI co-author seeded with CBN, NDPA and NDIC-compliant policy templates — new bank licensees can stand up a 25-policy suite in one week.</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Attestation</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User attestation campaigns</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Bulk campaigns to thousands of staff, manager reminders, SSO-driven acknowledgements.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PolicyAttestation model exists; campaign-scale attestation UX and reporting to be validated.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Campaign manager with SSO attest, bulk reminders, escalation to line managers, attestation coverage dashboard.</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Support for SMS-based attestation reminders via Infobip/Africa's Talking for field staff in microfinance banks where corporate email coverage is weak.</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Exceptions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Policy exception workflow</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Request → approval → expiry; integrated with risk register; auto-reminders on expiry.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PolicyException model and workflow present.</w:t>
            </w:r>
          </w:p>
        </w:tc>
        <w:tc>
          <w:tcPr>
            <w:tcW w:type="dxa" w:w="700"/>
            <w:tcBorders>
              <w:top w:val="single" w:color="CCCCCC" w:sz="4"/>
              <w:left w:val="single" w:color="CCCCCC" w:sz="4"/>
              <w:bottom w:val="single" w:color="CCCCCC" w:sz="4"/>
              <w:right w:val="single" w:color="CCCCCC" w:sz="4"/>
            </w:tcBorders>
            <w:shd w:fill="CDEBD4" w:val="clear"/>
            <w:tcMar>
              <w:top w:type="dxa" w:w="80"/>
              <w:left w:type="dxa" w:w="100"/>
              <w:bottom w:type="dxa" w:w="80"/>
              <w:right w:type="dxa" w:w="100"/>
            </w:tcMar>
            <w:vAlign w:val="top"/>
          </w:tcPr>
          <w:p>
            <w:pPr>
              <w:spacing w:after="30" w:before="30"/>
              <w:jc w:val="center"/>
            </w:pPr>
            <w:r>
              <w:rPr>
                <w:b/>
                <w:bCs/>
                <w:color w:val="1A365D"/>
                <w:sz w:val="16"/>
                <w:szCs w:val="16"/>
              </w:rPr>
              <w:t xml:space="preserve">None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Parity maintained; add risk-register auto-linkage.</w:t>
            </w:r>
          </w:p>
        </w:tc>
        <w:tc>
          <w:tcPr>
            <w:tcW w:type="dxa" w:w="500"/>
            <w:tcBorders>
              <w:top w:val="single" w:color="CCCCCC" w:sz="4"/>
              <w:left w:val="single" w:color="CCCCCC" w:sz="4"/>
              <w:bottom w:val="single" w:color="CCCCCC" w:sz="4"/>
              <w:right w:val="single" w:color="CCCCCC" w:sz="4"/>
            </w:tcBorders>
            <w:shd w:fill="D6DEEA" w:val="clear"/>
            <w:tcMar>
              <w:top w:type="dxa" w:w="80"/>
              <w:left w:type="dxa" w:w="100"/>
              <w:bottom w:type="dxa" w:w="80"/>
              <w:right w:type="dxa" w:w="100"/>
            </w:tcMar>
            <w:vAlign w:val="top"/>
          </w:tcPr>
          <w:p>
            <w:pPr>
              <w:spacing w:after="30" w:before="30"/>
              <w:jc w:val="center"/>
            </w:pPr>
            <w:r>
              <w:rPr>
                <w:b/>
                <w:bCs/>
                <w:color w:val="1A365D"/>
                <w:sz w:val="16"/>
                <w:szCs w:val="16"/>
              </w:rPr>
              <w:t xml:space="preserve">P2</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Board-level exception register formatted for CBN BAC submission.</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Attestation</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Implement campaign orchestrator job queue; integrate Infobip API for SMS reminders. Build attestation coverage report card.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D7.  </w:t>
      </w:r>
      <w:r>
        <w:rPr>
          <w:b/>
          <w:bCs/>
          <w:color w:val="1A365D"/>
          <w:sz w:val="32"/>
          <w:szCs w:val="32"/>
        </w:rPr>
        <w:t xml:space="preserve">Issue &amp; Remediation Management (CAPA)</w:t>
      </w:r>
    </w:p>
    <w:p>
      <w:pPr>
        <w:spacing w:after="80" w:before="80"/>
      </w:pPr>
      <w:r>
        <w:rPr>
          <w:color w:val="2D3748"/>
          <w:sz w:val="22"/>
          <w:szCs w:val="22"/>
        </w:rPr>
        <w:t xml:space="preserve">A cross-cutting capability feeding every domain. Atheris already has RiskTreatment and Gap models. The gap is unified issue-object, SLA tracking and ticketing integrations.</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Issue management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Unified issue object</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Archer, ServiceNow and LogicGate expose a single Issue record type that can be raised from audit, control test, risk, incident or vulnerability.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Gap and RiskTreatment cover issues from assessments and risks; no single Issue object.</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Unified Issue entity with source-type, severity, owner, due date, SLA, linkages; raised from any module.</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Pre-linked to CBN/NDPC finding codes for examiner-compatible output.</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Remediation</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SLA and escalation</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Configurable SLA clocks by severity; auto-escalation; pause/resume; trend analytics.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Basic due-date tracking; no SLA clock or escalation engine.</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SLA engine with clock pause for dependency blockers; automatic escalation to line manager → CISO → CRO.</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SLA bands pre-tuned to CBN ITSM and NDIC risk-finding response expectations.</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Ticketing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ITSM integration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ServiceNow, Jira, Zendesk, Freshservice bi-directional sync.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ITSM integration out of the box.</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Jira, ServiceNow, Freshservice connectors; create/sync tickets; accept status updates back.</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Local helpdesk integrations (e.g., Pyrix, Gcc by Glovo for fintechs) on request.</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Unified issue object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Introduce Issue model; backfill from Gap/RiskTreatment; expose 'Raise Issue' action everywhere.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SLA and escalation</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Add SLA engine; notifications via queue; persisted audit trail.</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ITSM integration</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Start with Jira Cloud via REST; add ServiceNow via Table 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D8.  </w:t>
      </w:r>
      <w:r>
        <w:rPr>
          <w:b/>
          <w:bCs/>
          <w:color w:val="1A365D"/>
          <w:sz w:val="32"/>
          <w:szCs w:val="32"/>
        </w:rPr>
        <w:t xml:space="preserve">Third-Party / Vendor Cyber Risk</w:t>
      </w:r>
    </w:p>
    <w:p>
      <w:pPr>
        <w:spacing w:after="80" w:before="80"/>
      </w:pPr>
      <w:r>
        <w:rPr>
          <w:color w:val="2D3748"/>
          <w:sz w:val="22"/>
          <w:szCs w:val="22"/>
        </w:rPr>
        <w:t xml:space="preserve">OneTrust, ServiceNow and LogicGate lead. Continuous monitoring feeds (Bitsight, SecurityScorecard, RiskRecon) are the table stake. Atheris has Vendor and VendorAssessment models — the questionnaire engine is in place; continuous monitoring and tiering analytics are the gap.</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Vendor register &amp; tiering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Risk-based tiering</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Auto-tiering by data sensitivity, spend, criticality and 4th-party dependency.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Vendor model with basic categorisation; tier calculation not explicitly defined.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Configurable tiering rule engine driving questionnaire depth and review cadence.</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Outsourcing Guidelines + NDPC Processor Register tiers built in; NDIC outsourcing approval thresholds pre-baked.</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Questionnaires</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Library &amp; workflow</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SIG, SIG Lite, CAIQ, ISO 27036, NIST 800-161 pre-loaded; send via portal.</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VendorAssessment model supports custom questionnaires.</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SIG Lite, CAIQ, NIST 800-161, ENISA and CBN Outsourcing questionnaires pre-loaded; vendor self-service portal.</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NDPA-compliant DPIA for processors pre-packaged — the only way Nigerian banks can evidence NDPC processor oversight.</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Continuous monitoring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Security ratings &amp; breach feeds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Bitsight, SecurityScorecard, UpGuard, RiskRecon ingested and refreshed daily.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continuous-monitoring ratings integration.</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SecurityScorecard / Bitsight / UpGuard connectors with automated re-risk on rating drop; breach news feed via HaveIBeenPwned + public breach RSS.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Shared Nigerian vendor directory (Interswitch, NIBSS, Unified Payments, e-Tranzact, CSCS, FMDQ) with Atheris-maintained baseline questionnaires usable across all clients — a network effect no global player has.</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Continuous monitoring</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Integrate SecurityScorecard API (cheapest entry); later add Bitsight. Build shared Nigerian vendor directory as a multi-tenant asset — biggest defensibility play in the TPRM stack.</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Risk-based tiering</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Define tier rule engine; expose a tiering wizard; auto-assign questionnaire depth.</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S</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D9.  </w:t>
      </w:r>
      <w:r>
        <w:rPr>
          <w:b/>
          <w:bCs/>
          <w:color w:val="1A365D"/>
          <w:sz w:val="32"/>
          <w:szCs w:val="32"/>
        </w:rPr>
        <w:t xml:space="preserve">Incident &amp; Cyber Event Management</w:t>
      </w:r>
    </w:p>
    <w:p>
      <w:pPr>
        <w:spacing w:after="80" w:before="80"/>
      </w:pPr>
      <w:r>
        <w:rPr>
          <w:color w:val="2D3748"/>
          <w:sz w:val="22"/>
          <w:szCs w:val="22"/>
        </w:rPr>
        <w:t xml:space="preserve">CBN's 24-hour cyber incident notification rule, NDPC's 72-hour breach notification, and NFIU SAR windows mean the incident module has more regulatory pressure in Nigeria than almost anywhere else. Atheris has Incident, IncidentEvent, DataBreach, SecurityAlert and IncidentResponseProcedure models — strong scaffolding.</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Incident lifecycle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Intake to closure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ServiceNow SecOps sets the benchmark; Archer and Fusion close behind.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Incident + IncidentEvent models; Cyber Incident &amp; Breach Response page scaffolded.</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End-to-end lifecycle: detect → triage → contain → eradicate → recover → PIR; auto-timeline from SIEM signals.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24-hour CBN notification clock visible on every incident record; pre-filled CBN ITSM advisory template.</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Detection integration</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SIEM / SOAR</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Native ingest from Splunk ES, Sentinel, Chronicle, QRadar; SOAR playbooks via ServiceNow SecOps or Palo Alto XSOAR.</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No SIEM/SOAR integration.</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Webhooks from Sentinel, Splunk ES, QRadar, AlienVault, Wazuh; SOAR sync with XSOAR/Swimlane.</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Wazuh integration as a first-class citizen (most common low-cost SIEM among Nigerian MFBs, Tier-2 banks and fintechs).</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Regulatory notifications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 NDPC / NFIU</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Generic breach-notification wizards; GDPR supported; no Nigerian templates.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DataBreach model present; regulatory notification templates not yet shipped.</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Pre-built CBN 24h advisory, NDPC 72h breach form, NFIU SAR/STR templates; auto-drafted from incident fields; digital signature routing.</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Atheris becomes the only platform that can auto-generate the five Nigerian regulator notifications from a single incident record.</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SIEM / SOAR integration</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Implement webhook receiver; ship starter playbooks. Partner with an MSSP (Infoprive or Cybervergent) for co-selling motion.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Regulatory notifications</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Build NotificationTemplate table; author CBN/NDPC/NFIU templates; render-to-PDF pipeline with digital signature.</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D10.  </w:t>
      </w:r>
      <w:r>
        <w:rPr>
          <w:b/>
          <w:bCs/>
          <w:color w:val="1A365D"/>
          <w:sz w:val="32"/>
          <w:szCs w:val="32"/>
        </w:rPr>
        <w:t xml:space="preserve">Business Continuity &amp; IT DR Linkage</w:t>
      </w:r>
    </w:p>
    <w:p>
      <w:pPr>
        <w:spacing w:after="80" w:before="80"/>
      </w:pPr>
      <w:r>
        <w:rPr>
          <w:color w:val="2D3748"/>
          <w:sz w:val="22"/>
          <w:szCs w:val="22"/>
        </w:rPr>
        <w:t xml:space="preserve">Fusion Risk Management is the category leader. BCP and BIA are already in Atheris; linkage to IT risk and DR test scheduling is the gap.</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BIA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Business Impact Analysis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Fusion, Archer and MetricStream have deep BIA modules with RTO/RPO/MTPD capture and dependency propagation.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BiaRecord, BcpPlan, BcpTest models — scaffolding is in place.</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Guided BIA with RTO/RPO/MTPD/MBCO; automatic dependency roll-up from business service graph.</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BCP Guidance and NDIC recovery-time expectations pre-configured as policy constraints.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IT DR</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DR test orchestration</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Fusion ships DR exercise runbooks; ServiceNow integrates with DR orchestrators.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Basic BcpTest model; no runbook orchestration.</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DR exercise runbook library; scheduling + participant attestation; time-stamped execution logs.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Pre-built runbooks covering NIBSS/NIP failover, core-banking DR, switch failover and ATM network reroute.</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IT–BC linkage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Asset ↔ BC dependency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Automatic propagation — a critical business service propagates criticality to its IT assets and their risks.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Decoupled today.</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Single dependency graph with bi-directional BCP ↔ asset ↔ risk linkage.</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Unified BCP + IT-Risk view tuned for CBN joint inspection teams that assess both together.</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DR test orchestration</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Introduce DrRunbook + DrExerciseRun tables; checklist UX; evidence capture.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IT–BC linkage</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Use the business-service graph (see domain 1); propagate criticality scores.</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D11.  </w:t>
      </w:r>
      <w:r>
        <w:rPr>
          <w:b/>
          <w:bCs/>
          <w:color w:val="1A365D"/>
          <w:sz w:val="32"/>
          <w:szCs w:val="32"/>
        </w:rPr>
        <w:t xml:space="preserve">Regulatory Change Management &amp; Obligations</w:t>
      </w:r>
    </w:p>
    <w:p>
      <w:pPr>
        <w:spacing w:after="80" w:before="80"/>
      </w:pPr>
      <w:r>
        <w:rPr>
          <w:color w:val="2D3748"/>
          <w:sz w:val="22"/>
          <w:szCs w:val="22"/>
        </w:rPr>
        <w:t xml:space="preserve">OneTrust and LogicGate lead in global horizon scanning; none cover Nigerian regulators well. This is a strategic leapfrog zone — Atheris can own regulatory change in Africa.</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Horizon scanning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Regulatory feeds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OneTrust Regulatory Research, LogicGate/PwC content partnerships, Thomson Reuters Regulatory Intelligence.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horizon scanning out of the box.</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Atheris Regulatory Intelligence feed covering CBN, NDPC, SEC Nigeria, NCC, NAICOM, PENCOM, NDIC, FIRS, NFIU circulars, SARB, CBK, BoG, Bank Al-Maghrib.</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global competitor systematically covers 10+ African regulators; first-mover moat is wide.</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Obligations library</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Obligations register</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Machine-readable obligation catalogue with clause-level mapping to controls.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FrameworkRequirement serves as partial obligations register.</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Dedicated Obligation model with ownership, applicability, evidence requirement and review cycle.</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NDPC Data Processor Register pre-packaged; CBN Circular-Index with 2,000+ historical circulars.</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Change impact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Impact assessment workflow</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Circular → impacted controls/policies/risks suggested automatically; approval workflow assigned.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Manual impact assessment.</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AI-driven impact assessment: new circular is parsed → impacted obligations are flagged → impacted policies, controls and risks are surfaced for review.</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Yoruba/Hausa/Pidgin-aware processing is irrelevant (circulars are in English), but low-latency vernacular summarisation for MFB field officers is a unique feature.</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Horizon scanning</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Content-ops team scraping CBN/NDPC/SEC/NCC/NAICOM websites into the Obligations library; AI summariser per circular; push to client dashboards.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Change impact</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LLM pipeline: embed-similarity match circular clauses to existing obligations; produce suggested impact list for analyst review.</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D12.  </w:t>
      </w:r>
      <w:r>
        <w:rPr>
          <w:b/>
          <w:bCs/>
          <w:color w:val="1A365D"/>
          <w:sz w:val="32"/>
          <w:szCs w:val="32"/>
        </w:rPr>
        <w:t xml:space="preserve">KRIs, Dashboards &amp; Executive Reporting</w:t>
      </w:r>
    </w:p>
    <w:p>
      <w:pPr>
        <w:spacing w:after="80" w:before="80"/>
      </w:pPr>
      <w:r>
        <w:rPr>
          <w:color w:val="2D3748"/>
          <w:sz w:val="22"/>
          <w:szCs w:val="22"/>
        </w:rPr>
        <w:t xml:space="preserve">Board packs and CBN returns are high-value deliverables. Leaders use modern BI stacks (Qlik, Power BI, Tableau, embedded charts). Atheris needs an opinionated, CBN-ready board-pack output.</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KRI library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KRI catalogue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MetricStream and Archer ship 500+ KRIs; thresholds + breach workflows.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formal KRI model in place.</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KRI model with thresholds (green/amber/red); breach notifications; trend charts; attached to risks.</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Pre-configured Nigerian-bank KRI pack (ATM downtime %, failed NIBSS NIP txns, BEC incidents, EOL AIX servers, privileged-access cnt).</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Dashboards</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Board &amp; exec views</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Configurable widgets; export to PowerPoint; Archer and MetricStream strongest on board packs.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Dashboards render in-app but PowerPoint/PDF board pack export not confirmed.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One-click board pack generator: executive summary, risk heat map, top-10 risks, KRIs, control status, incidents, audit findings, regulatory obligations, BCP health — as a branded PowerPoint or PDF.</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CBN-return-ready templates (monthly IT risk return, annual cyber self-assessment, NDPC audit report) — generated in the exact CBN layout.</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Regulator returns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 NDPC returns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 native CBN return support in any global platform.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CBN-CSAT export planned; other returns not yet.</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Scheduled CBN CRMS submission, monthly IT-risk self-certification, NDIC returns, NDPC audit reports — all as auto-populated outputs.</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Category-defining: Atheris becomes the operating system for Nigerian regulator returns.</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KRI library</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Introduce Kri + KriReading + KriThreshold models; auto-populate 30 KRIs from existing signals (incidents, vulns, policy attestation %).</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Board pack export</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Use PHPPresentation or Python-pptx microservice; ship 10 branded templates in navy/gold per Atheris design system.</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D13.  </w:t>
      </w:r>
      <w:r>
        <w:rPr>
          <w:b/>
          <w:bCs/>
          <w:color w:val="1A365D"/>
          <w:sz w:val="32"/>
          <w:szCs w:val="32"/>
        </w:rPr>
        <w:t xml:space="preserve">AI &amp; Automation</w:t>
      </w:r>
    </w:p>
    <w:p>
      <w:pPr>
        <w:spacing w:after="80" w:before="80"/>
      </w:pPr>
      <w:r>
        <w:rPr>
          <w:color w:val="2D3748"/>
          <w:sz w:val="22"/>
          <w:szCs w:val="22"/>
        </w:rPr>
        <w:t xml:space="preserve">This is moving fastest in the market. ServiceNow (Now Assist), Archer Engage AI, OneTrust DataDiscovery AI, MetricStream CyberGRC AI and LogicGate/Cloverpop Copilot are all live. Laravel Prism gives Atheris a credible lane; AI execution depth is the differentiator.</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Risk scoring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AI-assisted scoring</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Pre-trained models score risks from free-text; suggest control gaps; explain confidence.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RiskScoringService exists; AI co-pilot not yet integrated.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Claude-based risk scoring assistant with rationale, evidence citation and override trail.</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Trained on CBN examination findings and NDPC decisions, producing rationales in regulator idiom.</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Control recommendations</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Control copilot</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Natural-language prompts suggest controls from a framework library.</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Not implemented yet.</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Control recommender that, given a risk narrative, suggests Atheris Unified Control Set controls with clause-level citation.</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Nigerian-precedent citations (CBN circulars, NDPC decisions).</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Natural-language querying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GRC copilot</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ServiceNow Now Assist and Archer Engage AI are strongest; LogicGate Copilot is growing fast.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Not implemented.</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Atheris Copilot: 'Show me all critical risks for Channels Banking with overdue issues' in natural language; Claude + Prism backed.</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Multilingual querying (English, French, Portuguese, Arabic, Swahili) for pan-African customers.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4</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Document intelligence</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Policy/circular parsing</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OneTrust leads via DataDiscovery lineage; Archer + MetricStream offer basic OCR extraction.</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Not implemented.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Document intelligence service: drop in a policy, audit report or CBN circular → structured output mapped to controls/obligations.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CBN circular and NDPC decision parsing with 95%+ precision.</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Natural-language querying</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Atheris Copilot using Claude via Prism; tool-use pattern — model calls Laravel APIs to fetch data; RAG over policy/control library.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Document intelligence</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Prism + Claude with structured output schemas per doc type (circular, policy, audit report). Content-ops reviewed feedback loop.</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D14.  </w:t>
      </w:r>
      <w:r>
        <w:rPr>
          <w:b/>
          <w:bCs/>
          <w:color w:val="1A365D"/>
          <w:sz w:val="32"/>
          <w:szCs w:val="32"/>
        </w:rPr>
        <w:t xml:space="preserve">Architecture &amp; Deployment</w:t>
      </w:r>
    </w:p>
    <w:p>
      <w:pPr>
        <w:spacing w:after="80" w:before="80"/>
      </w:pPr>
      <w:r>
        <w:rPr>
          <w:color w:val="2D3748"/>
          <w:sz w:val="22"/>
          <w:szCs w:val="22"/>
        </w:rPr>
        <w:t xml:space="preserve">A decisive battleground for African banks. Many Tier-1 and Tier-2 Nigerian DMBs face CBN data-localisation expectations and internal policy demands for on-prem or 'hybrid to Nigeria' deployment. All global SaaS leaders struggle here.</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Deployment models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Cloud, on-prem, air-gapped</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ServiceNow, OneTrust, LogicGate, SAI360 are SaaS-only. Archer offers SaaS or self-hosted; MetricStream offers SaaS or self-hosted; Fusion is SaaS-first; Diligent is SaaS-only.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Laravel monolith deployable SaaS or on-prem; containerised path in progress.</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Three first-class deployment modes: multi-tenant SaaS (AWS Lagos/Cape Town), dedicated-tenant SaaS, and on-prem/air-gapped Kubernetes bundle. Same codebase.</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Only serious ITSRM&amp;G platform that ships air-gapped to Nigerian banks. CBN data-localisation mandate closes the door for most competitors.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Data residency</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Regional hosting</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EU, US, APAC regions standard; Africa regions rare (only Archer/ServiceNow have South Africa via partners).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AWS af-south-1 (Cape Town); Lagos-region-ready when AWS launches.</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SaaS tenants in af-south-1, MTN/MainOne/Galaxy Backbone on-prem hosting partnerships for Nigeria.</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First SaaS footprint on Galaxy Backbone (federal tier-III Nigerian DC) — a credential no global player has pursued.</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High availability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RTO/RPO</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RTO &lt; 4h, RPO &lt; 15 min standard.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Single-region by default; HA architecture not yet documented publicly.</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Multi-AZ, RTO &lt; 2h, RPO &lt; 15 min across all deployment modes.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Active-active replication between af-south-1 and on-prem Nigerian DC option.</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Deployment models</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Invest in Helm charts, air-gapped install script, offline dependency bundle; certify a reference architecture with Galaxy Backbone or MainOne.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High availability</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Document and test multi-AZ deployment; publish SOC 2 Type II and ISO 27001 of the hosting environment.</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D15.  </w:t>
      </w:r>
      <w:r>
        <w:rPr>
          <w:b/>
          <w:bCs/>
          <w:color w:val="1A365D"/>
          <w:sz w:val="32"/>
          <w:szCs w:val="32"/>
        </w:rPr>
        <w:t xml:space="preserve">Integrations &amp; APIs</w:t>
      </w:r>
    </w:p>
    <w:p>
      <w:pPr>
        <w:spacing w:after="80" w:before="80"/>
      </w:pPr>
      <w:r>
        <w:rPr>
          <w:color w:val="2D3748"/>
          <w:sz w:val="22"/>
          <w:szCs w:val="22"/>
        </w:rPr>
        <w:t xml:space="preserve">Leaders publish REST APIs with 500+ endpoints and SCIM + SSO + webhook support. Atheris is Laravel-native and can ship an auto-generated API quickly, but will need to invest in core-banking and ITSM connectors specifically.</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Identity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SSO / SCIM</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SAML 2.0, OIDC, SCIM v2 baseline; MFA enforced.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Password + 2FA; SSO support not yet documented as first class.</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SAML/OIDC via Microsoft Entra ID, Okta, Ping; SCIM v2 for user provisioning.</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Entra ID Government Cloud readiness for FGN-owned banks.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Core banking</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Finacle, Flexcube, T24</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None have native core-banking integrations.</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None yet.</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Pre-packaged read adapters for Finacle, Flexcube, T24, BankOne (for MFBs), and BANKS by Teamapt.</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Unique in the world. Enables IT asset + control testing directly against core-banking estates.</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ITSM / SIEM / scanners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Connector pack</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Leaders ship 100+ pre-built integrations.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Minimal connector library.</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Priority 1 connector pack: Jira, ServiceNow, Freshservice, Splunk, Sentinel, Tenable, Qualys, CrowdStrike, AWS/Azure/GCP.</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Free migration scripts from Excel / SharePoint for Nigerian banks transitioning from manual tools.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4</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Public API</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REST + webhooks</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OpenAPI 3.0 catalogues; webhooks; rate-limited; token-based.</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Laravel routes present; public API not versioned or documented.</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Versioned REST API; OpenAPI 3.0 spec; webhook subscriptions; API keys + OAuth2.</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Sandbox environment pre-provisioned for CBN examination teams — a unique posture.</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SSO / SCIM</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Use laravel/socialite or spatie/laravel-saml; SCIM v2 via a dedicated Laravel package.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Connector pack</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Adopt a connector framework (interface + jobs); prioritise the top 10 connectors.</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Public API</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Add Laravel Sanctum/Passport; generate OpenAPI via Scribe; add webhook dispatcher.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D16.  </w:t>
      </w:r>
      <w:r>
        <w:rPr>
          <w:b/>
          <w:bCs/>
          <w:color w:val="1A365D"/>
          <w:sz w:val="32"/>
          <w:szCs w:val="32"/>
        </w:rPr>
        <w:t xml:space="preserve">UX, Workflow Engine &amp; Configurability</w:t>
      </w:r>
    </w:p>
    <w:p>
      <w:pPr>
        <w:spacing w:after="80" w:before="80"/>
      </w:pPr>
      <w:r>
        <w:rPr>
          <w:color w:val="2D3748"/>
          <w:sz w:val="22"/>
          <w:szCs w:val="22"/>
        </w:rPr>
        <w:t xml:space="preserve">LogicGate is the UX benchmark; its low-code builder defines the category. Atheris currently ships opinionated, hand-built flows — faster to value, but harder to tailor per client. A low-code flow builder is a non-trivial but strategic investment.</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UX</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Modern, consistent UI</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LogicGate and OneTrust have the most modern UX; ServiceNow is polished but dense; Archer and MetricStream feel legacy.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Navy/gold design system with Inter/SF Pro typography; existing pages rendered as React.</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Design system hardening: component library, accessibility AA, dark-mode for SOC operators, responsive down to 768px.</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Branded themes per client (CBN-green for NDIC, burgundy for Access, green-gold for Zenith) on tenant switch — enterprise customers love this.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Workflow engine</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Low-code workflow builder</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LogicGate Risk Cloud is the gold standard; ServiceNow Flow Designer; OneTrust Workflow Studio.</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Hard-coded workflows per module.</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Drag-and-drop workflow builder with conditions, approvers, SLA, and notifications; persisted as JSON.</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Pre-built African workflow templates (e.g., CBN ITSM incident workflow, NDPC DPIA) downloadable from a marketplace.</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Configurability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Field-level customisation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Tenants can add fields, change form layouts, re-label anything.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Limited field-level customisation.</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Tenant-scoped custom fields on all primary objects; role-based dashboards; form layout editor.</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Naira/NGN, naira-pesa/Kenya shilling, CFA franc symbols and examiner-specific field packs per country.</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Low-code workflow builder</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Adopt an open workflow engine (Camunda 8, Temporal, or Laravel-native with elsa); build a React-Flow UI; persist workflows as JSON documents.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XL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Field-level customisation</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JSON column for custom_fields per tenant + dynamic form renderer; Laravel Nova or Filament-inspired approach.</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L</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Table-stakes parity</w:t>
            </w:r>
          </w:p>
        </w:tc>
      </w:tr>
    </w:tbl>
    <w:p>
      <w:pPr>
        <w:pStyle w:val="Heading1"/>
        <w:pageBreakBefore/>
        <w:spacing w:after="180" w:before="360"/>
      </w:pPr>
      <w:r>
        <w:rPr>
          <w:b/>
          <w:bCs/>
          <w:color w:val="D4AF37"/>
          <w:sz w:val="32"/>
          <w:szCs w:val="32"/>
        </w:rPr>
        <w:t xml:space="preserve">D17.  </w:t>
      </w:r>
      <w:r>
        <w:rPr>
          <w:b/>
          <w:bCs/>
          <w:color w:val="1A365D"/>
          <w:sz w:val="32"/>
          <w:szCs w:val="32"/>
        </w:rPr>
        <w:t xml:space="preserve">Localisation</w:t>
      </w:r>
    </w:p>
    <w:p>
      <w:pPr>
        <w:spacing w:after="80" w:before="80"/>
      </w:pPr>
      <w:r>
        <w:rPr>
          <w:color w:val="2D3748"/>
          <w:sz w:val="22"/>
          <w:szCs w:val="22"/>
        </w:rPr>
        <w:t xml:space="preserve">No global platform ships meaningful African localisation. A modest investment delivers a durable African moat.</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Language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UI localisation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English, French, German, Spanish, Portuguese, Italian, Japanese, Simplified Chinese standard. Arabic patchy.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English only.</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English, French (West Africa), Portuguese (Lusophone Africa), Arabic (North Africa), Swahili (East Africa); plus compatibility with Hausa/Yoruba/Zulu where requested.</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Only pan-African locale pack on the market. Unlocks Francophone banks in Côte d'Ivoire, Senegal; Lusophone in Angola, Mozambique.</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Currency</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Currency support</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Multi-currency but all pricing in USD/EUR/GBP.</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Naira references in CBN-CSAT; multi-currency not confirmed platform-wide.</w:t>
            </w:r>
          </w:p>
        </w:tc>
        <w:tc>
          <w:tcPr>
            <w:tcW w:type="dxa" w:w="700"/>
            <w:tcBorders>
              <w:top w:val="single" w:color="CCCCCC" w:sz="4"/>
              <w:left w:val="single" w:color="CCCCCC" w:sz="4"/>
              <w:bottom w:val="single" w:color="CCCCCC" w:sz="4"/>
              <w:right w:val="single" w:color="CCCCCC" w:sz="4"/>
            </w:tcBorders>
            <w:shd w:fill="FBDDB1" w:val="clear"/>
            <w:tcMar>
              <w:top w:type="dxa" w:w="80"/>
              <w:left w:type="dxa" w:w="100"/>
              <w:bottom w:type="dxa" w:w="80"/>
              <w:right w:type="dxa" w:w="100"/>
            </w:tcMar>
            <w:vAlign w:val="top"/>
          </w:tcPr>
          <w:p>
            <w:pPr>
              <w:spacing w:after="30" w:before="30"/>
              <w:jc w:val="center"/>
            </w:pPr>
            <w:r>
              <w:rPr>
                <w:b/>
                <w:bCs/>
                <w:color w:val="1A365D"/>
                <w:sz w:val="16"/>
                <w:szCs w:val="16"/>
              </w:rPr>
              <w:t xml:space="preserve">Moderate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Naira, Ghana cedi, Kenyan shilling, Rand, XOF/XAF, Moroccan dirham, Egyptian pound; Naira as default.</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Pricing in Naira eliminates FX risk for Nigerian customers — a hard-dollar pain point in 2024–2026.</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Regulator packs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Country content packs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US, UK, EU, APAC regulatory content. Africa thin or absent.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CBN and NDPA packaged; others in pipeline.</w:t>
            </w:r>
          </w:p>
        </w:tc>
        <w:tc>
          <w:tcPr>
            <w:tcW w:type="dxa" w:w="700"/>
            <w:tcBorders>
              <w:top w:val="single" w:color="CCCCCC" w:sz="4"/>
              <w:left w:val="single" w:color="CCCCCC" w:sz="4"/>
              <w:bottom w:val="single" w:color="CCCCCC" w:sz="4"/>
              <w:right w:val="single" w:color="CCCCCC" w:sz="4"/>
            </w:tcBorders>
            <w:shd w:fill="FBD5D5" w:val="clear"/>
            <w:tcMar>
              <w:top w:type="dxa" w:w="80"/>
              <w:left w:type="dxa" w:w="100"/>
              <w:bottom w:type="dxa" w:w="80"/>
              <w:right w:type="dxa" w:w="100"/>
            </w:tcMar>
            <w:vAlign w:val="top"/>
          </w:tcPr>
          <w:p>
            <w:pPr>
              <w:spacing w:after="30" w:before="30"/>
              <w:jc w:val="center"/>
            </w:pPr>
            <w:r>
              <w:rPr>
                <w:b/>
                <w:bCs/>
                <w:color w:val="1A365D"/>
                <w:sz w:val="16"/>
                <w:szCs w:val="16"/>
              </w:rPr>
              <w:t xml:space="preserve">Critical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First-class packs for Nigeria, Ghana, Kenya, South Africa, Egypt, Morocco, Rwanda, Uganda, Tanzania; each with banking, data-protection and capital-markets regulators.</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Unmatched regulator depth in Africa — the most defensible moat in the full analysis.</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UI localisation</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Use Laravel localisation + i18next in React; start with French, Portuguese and Arabic (RTL).</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r>
        <w:tc>
          <w:tcPr>
            <w:tcW w:type="dxa" w:w="26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Regulator packs</w:t>
            </w:r>
          </w:p>
        </w:tc>
        <w:tc>
          <w:tcPr>
            <w:tcW w:type="dxa" w:w="6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Content-ops team to build 3 packs per quarter; partner with local law firms (Olaniwun Ajayi, Bowmans, ENSafrica) for authoritative clause text.</w:t>
            </w:r>
          </w:p>
        </w:tc>
        <w:tc>
          <w:tcPr>
            <w:tcW w:type="dxa" w:w="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XL</w:t>
            </w:r>
          </w:p>
        </w:tc>
        <w:tc>
          <w:tcPr>
            <w:tcW w:type="dxa" w:w="29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pStyle w:val="Heading1"/>
        <w:pageBreakBefore/>
        <w:spacing w:after="180" w:before="360"/>
      </w:pPr>
      <w:r>
        <w:rPr>
          <w:b/>
          <w:bCs/>
          <w:color w:val="D4AF37"/>
          <w:sz w:val="32"/>
          <w:szCs w:val="32"/>
        </w:rPr>
        <w:t xml:space="preserve">D18.  </w:t>
      </w:r>
      <w:r>
        <w:rPr>
          <w:b/>
          <w:bCs/>
          <w:color w:val="1A365D"/>
          <w:sz w:val="32"/>
          <w:szCs w:val="32"/>
        </w:rPr>
        <w:t xml:space="preserve">Pricing &amp; Commercial Model</w:t>
      </w:r>
    </w:p>
    <w:p>
      <w:pPr>
        <w:spacing w:after="80" w:before="80"/>
      </w:pPr>
      <w:r>
        <w:rPr>
          <w:color w:val="2D3748"/>
          <w:sz w:val="22"/>
          <w:szCs w:val="22"/>
        </w:rPr>
        <w:t xml:space="preserve">Global platforms price in USD with minimum deal sizes of USD 120–500k/year and 12–52 week implementations. African procurement realities are 6–12x smaller, FX-constrained and CAPEX-preferring.</w:t>
      </w:r>
    </w:p>
    <w:p>
      <w:pPr>
        <w:pStyle w:val="Heading3"/>
        <w:spacing w:after="80" w:before="180"/>
      </w:pPr>
      <w:r>
        <w:rPr>
          <w:b/>
          <w:bCs/>
          <w:color w:val="2D3748"/>
          <w:sz w:val="22"/>
          <w:szCs w:val="22"/>
        </w:rPr>
        <w:t xml:space="preserve">Gap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1400"/>
        <w:gridCol w:w="2300"/>
        <w:gridCol w:w="1500"/>
        <w:gridCol w:w="700"/>
        <w:gridCol w:w="2200"/>
        <w:gridCol w:w="500"/>
        <w:gridCol w:w="2900"/>
      </w:tblGrid>
      <w:tr>
        <w:trPr>
          <w:tblHeader/>
        </w:trPr>
        <w:tc>
          <w:tcPr>
            <w:tcW w:type="dxa" w:w="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w:t>
            </w:r>
          </w:p>
        </w:tc>
        <w:tc>
          <w:tcPr>
            <w:tcW w:type="dxa" w:w="11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Capability</w:t>
            </w:r>
          </w:p>
        </w:tc>
        <w:tc>
          <w:tcPr>
            <w:tcW w:type="dxa" w:w="14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23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Global leaders' offering (synthesised)</w:t>
            </w:r>
          </w:p>
        </w:tc>
        <w:tc>
          <w:tcPr>
            <w:tcW w:type="dxa" w:w="1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Atheris current state</w:t>
            </w:r>
          </w:p>
        </w:tc>
        <w:tc>
          <w:tcPr>
            <w:tcW w:type="dxa" w:w="7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Gap</w:t>
            </w:r>
          </w:p>
        </w:tc>
        <w:tc>
          <w:tcPr>
            <w:tcW w:type="dxa" w:w="22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Target state for market leadership</w:t>
            </w:r>
          </w:p>
        </w:tc>
        <w:tc>
          <w:tcPr>
            <w:tcW w:type="dxa" w:w="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Priority</w:t>
            </w:r>
          </w:p>
        </w:tc>
        <w:tc>
          <w:tcPr>
            <w:tcW w:type="dxa" w:w="2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Differentiation for Africa / Nigeria</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List price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Pricing model</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Archer, MetricStream, SAI360 → per-module + per-user, starting ~USD 80–200/user/month; ServiceNow IRM ~USD 150–300/user/month; OneTrust + LogicGate ~USD 50k–400k base; Diligent suite ~USD 100k+ entry.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Early pricing; modular, Naira-denominated.</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Three tiers: Essentials (MFB, ~NGN 2–4m/year), Professional (Tier-2 bank, ~NGN 15–40m/year), Enterprise (Tier-1/PSB, ~NGN 50–120m/year). All in Naira.</w:t>
            </w:r>
          </w:p>
        </w:tc>
        <w:tc>
          <w:tcPr>
            <w:tcW w:type="dxa" w:w="500"/>
            <w:tcBorders>
              <w:top w:val="single" w:color="CCCCCC" w:sz="4"/>
              <w:left w:val="single" w:color="CCCCCC" w:sz="4"/>
              <w:bottom w:val="single" w:color="CCCCCC" w:sz="4"/>
              <w:right w:val="single" w:color="CCCCCC" w:sz="4"/>
            </w:tcBorders>
            <w:shd w:fill="F8CECC" w:val="clear"/>
            <w:tcMar>
              <w:top w:type="dxa" w:w="80"/>
              <w:left w:type="dxa" w:w="100"/>
              <w:bottom w:type="dxa" w:w="80"/>
              <w:right w:type="dxa" w:w="100"/>
            </w:tcMar>
            <w:vAlign w:val="top"/>
          </w:tcPr>
          <w:p>
            <w:pPr>
              <w:spacing w:after="30" w:before="30"/>
              <w:jc w:val="center"/>
            </w:pPr>
            <w:r>
              <w:rPr>
                <w:b/>
                <w:bCs/>
                <w:color w:val="1A365D"/>
                <w:sz w:val="16"/>
                <w:szCs w:val="16"/>
              </w:rPr>
              <w:t xml:space="preserve">P0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10–20x cheaper in Naira vs. global SaaS, while delivering richer CBN-native features.</w:t>
            </w:r>
          </w:p>
        </w:tc>
      </w:tr>
      <w:tr>
        <w:trPr>
          <w:cantSplit w:val="false"/>
        </w:trPr>
        <w:tc>
          <w:tcPr>
            <w:tcW w:type="dxa" w:w="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jc w:val="center"/>
            </w:pPr>
            <w:r>
              <w:rPr>
                <w:b/>
                <w:bCs/>
                <w:color w:val="1A365D"/>
                <w:sz w:val="16"/>
                <w:szCs w:val="16"/>
              </w:rPr>
              <w:t xml:space="preserve">2</w:t>
            </w:r>
          </w:p>
        </w:tc>
        <w:tc>
          <w:tcPr>
            <w:tcW w:type="dxa" w:w="11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6"/>
                <w:szCs w:val="16"/>
              </w:rPr>
              <w:t xml:space="preserve">Commercial packaging</w:t>
            </w:r>
          </w:p>
        </w:tc>
        <w:tc>
          <w:tcPr>
            <w:tcW w:type="dxa" w:w="14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Modules</w:t>
            </w:r>
          </w:p>
        </w:tc>
        <w:tc>
          <w:tcPr>
            <w:tcW w:type="dxa" w:w="23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Per-module licensing; bundles common.</w:t>
            </w:r>
          </w:p>
        </w:tc>
        <w:tc>
          <w:tcPr>
            <w:tcW w:type="dxa" w:w="15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Modular architecture enables pay-for-what-you-need.</w:t>
            </w:r>
          </w:p>
        </w:tc>
        <w:tc>
          <w:tcPr>
            <w:tcW w:type="dxa" w:w="700"/>
            <w:tcBorders>
              <w:top w:val="single" w:color="CCCCCC" w:sz="4"/>
              <w:left w:val="single" w:color="CCCCCC" w:sz="4"/>
              <w:bottom w:val="single" w:color="CCCCCC" w:sz="4"/>
              <w:right w:val="single" w:color="CCCCCC" w:sz="4"/>
            </w:tcBorders>
            <w:shd w:fill="CDEBD4" w:val="clear"/>
            <w:tcMar>
              <w:top w:type="dxa" w:w="80"/>
              <w:left w:type="dxa" w:w="100"/>
              <w:bottom w:type="dxa" w:w="80"/>
              <w:right w:type="dxa" w:w="100"/>
            </w:tcMar>
            <w:vAlign w:val="top"/>
          </w:tcPr>
          <w:p>
            <w:pPr>
              <w:spacing w:after="30" w:before="30"/>
              <w:jc w:val="center"/>
            </w:pPr>
            <w:r>
              <w:rPr>
                <w:b/>
                <w:bCs/>
                <w:color w:val="1A365D"/>
                <w:sz w:val="16"/>
                <w:szCs w:val="16"/>
              </w:rPr>
              <w:t xml:space="preserve">None</w:t>
            </w:r>
          </w:p>
        </w:tc>
        <w:tc>
          <w:tcPr>
            <w:tcW w:type="dxa" w:w="22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Keep modular packaging with CBN-CSAT bundled free above Professional tier.</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6"/>
                <w:szCs w:val="16"/>
              </w:rPr>
              <w:t xml:space="preserve">CBN-CSAT included as a loss-leader at Professional tier — unbeatable hook for Nigerian sales.</w:t>
            </w:r>
          </w:p>
        </w:tc>
      </w:tr>
      <w:tr>
        <w:trPr>
          <w:cantSplit w:val="false"/>
        </w:trPr>
        <w:tc>
          <w:tcPr>
            <w:tcW w:type="dxa" w:w="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Procurement reality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Payment terms &amp; CAPEX</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Annual upfront preferred; some quarterly; CAPEX-oriented perpetual rarely offered.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Negotiated per-client.</w:t>
            </w:r>
          </w:p>
        </w:tc>
        <w:tc>
          <w:tcPr>
            <w:tcW w:type="dxa" w:w="700"/>
            <w:tcBorders>
              <w:top w:val="single" w:color="CCCCCC" w:sz="4"/>
              <w:left w:val="single" w:color="CCCCCC" w:sz="4"/>
              <w:bottom w:val="single" w:color="CCCCCC" w:sz="4"/>
              <w:right w:val="single" w:color="CCCCCC" w:sz="4"/>
            </w:tcBorders>
            <w:shd w:fill="F6E7B0" w:val="clear"/>
            <w:tcMar>
              <w:top w:type="dxa" w:w="80"/>
              <w:left w:type="dxa" w:w="100"/>
              <w:bottom w:type="dxa" w:w="80"/>
              <w:right w:type="dxa" w:w="100"/>
            </w:tcMar>
            <w:vAlign w:val="top"/>
          </w:tcPr>
          <w:p>
            <w:pPr>
              <w:spacing w:after="30" w:before="30"/>
              <w:jc w:val="center"/>
            </w:pPr>
            <w:r>
              <w:rPr>
                <w:b/>
                <w:bCs/>
                <w:color w:val="1A365D"/>
                <w:sz w:val="16"/>
                <w:szCs w:val="16"/>
              </w:rPr>
              <w:t xml:space="preserve">Minor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Quarterly instalments, CAPEX-friendly 3-year perpetual-plus-maintenance option for public-sector banks.</w:t>
            </w:r>
          </w:p>
        </w:tc>
        <w:tc>
          <w:tcPr>
            <w:tcW w:type="dxa" w:w="500"/>
            <w:tcBorders>
              <w:top w:val="single" w:color="CCCCCC" w:sz="4"/>
              <w:left w:val="single" w:color="CCCCCC" w:sz="4"/>
              <w:bottom w:val="single" w:color="CCCCCC" w:sz="4"/>
              <w:right w:val="single" w:color="CCCCCC" w:sz="4"/>
            </w:tcBorders>
            <w:shd w:fill="FFE0B2" w:val="clear"/>
            <w:tcMar>
              <w:top w:type="dxa" w:w="80"/>
              <w:left w:type="dxa" w:w="100"/>
              <w:bottom w:type="dxa" w:w="80"/>
              <w:right w:type="dxa" w:w="100"/>
            </w:tcMar>
            <w:vAlign w:val="top"/>
          </w:tcPr>
          <w:p>
            <w:pPr>
              <w:spacing w:after="30" w:before="30"/>
              <w:jc w:val="center"/>
            </w:pPr>
            <w:r>
              <w:rPr>
                <w:b/>
                <w:bCs/>
                <w:color w:val="1A365D"/>
                <w:sz w:val="16"/>
                <w:szCs w:val="16"/>
              </w:rPr>
              <w:t xml:space="preserve">P1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Naira, CAPEX and local-implementation-partner terms — structurally inaccessible to global vendors.</w:t>
            </w:r>
          </w:p>
        </w:tc>
      </w:tr>
    </w:tbl>
    <w:p>
      <w:pPr>
        <w:pStyle w:val="Heading3"/>
        <w:spacing w:after="80" w:before="180"/>
      </w:pPr>
      <w:r>
        <w:rPr>
          <w:b/>
          <w:bCs/>
          <w:color w:val="2D3748"/>
          <w:sz w:val="22"/>
          <w:szCs w:val="22"/>
        </w:rPr>
        <w:t xml:space="preserve">Closure plan — Moderate and Critical gaps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gridCol w:w="900"/>
        <w:gridCol w:w="2960"/>
      </w:tblGrid>
      <w:tr>
        <w:trPr>
          <w:tblHeader/>
        </w:trPr>
        <w:tc>
          <w:tcPr>
            <w:tcW w:type="dxa" w:w="26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Sub-capability</w:t>
            </w:r>
          </w:p>
        </w:tc>
        <w:tc>
          <w:tcPr>
            <w:tcW w:type="dxa" w:w="65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Closure recommendation (build / partner / configure)</w:t>
            </w:r>
          </w:p>
        </w:tc>
        <w:tc>
          <w:tcPr>
            <w:tcW w:type="dxa" w:w="9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jc w:val="center"/>
            </w:pPr>
            <w:r>
              <w:rPr>
                <w:b/>
                <w:bCs/>
                <w:color w:val="FFFFFF"/>
                <w:sz w:val="16"/>
                <w:szCs w:val="16"/>
              </w:rPr>
              <w:t xml:space="preserve">Effort</w:t>
            </w:r>
          </w:p>
        </w:tc>
        <w:tc>
          <w:tcPr>
            <w:tcW w:type="dxa" w:w="29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6"/>
                <w:szCs w:val="16"/>
              </w:rPr>
              <w:t xml:space="preserve">Parity or leapfrog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6"/>
                <w:szCs w:val="16"/>
              </w:rPr>
              <w:t xml:space="preserve">Pricing &amp; packaging</w:t>
            </w:r>
          </w:p>
        </w:tc>
        <w:tc>
          <w:tcPr>
            <w:tcW w:type="dxa" w:w="6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6"/>
                <w:szCs w:val="16"/>
              </w:rPr>
              <w:t xml:space="preserve">Finalise Essentials/Professional/Enterprise pricebook; publish Naira list prices with FX-adjusted USD equivalents.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jc w:val="center"/>
            </w:pPr>
            <w:r>
              <w:rPr>
                <w:b/>
                <w:bCs/>
                <w:color w:val="1A365D"/>
                <w:sz w:val="16"/>
                <w:szCs w:val="16"/>
              </w:rPr>
              <w:t xml:space="preserv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2D7D46"/>
                <w:sz w:val="16"/>
                <w:szCs w:val="16"/>
              </w:rPr>
              <w:t xml:space="preserve">Leapfrog differentiator</w:t>
            </w:r>
          </w:p>
        </w:tc>
      </w:tr>
    </w:tbl>
    <w:p>
      <w:pPr>
        <w:sectPr>
          <w:headerReference w:type="default" r:id="rId8"/>
          <w:footerReference w:type="default" r:id="rId9"/>
          <w:type w:val="nextPage"/>
          <w:pgSz w:w="15840" w:h="12240" w:orient="landscape"/>
          <w:pgMar w:top="1080" w:right="1080" w:bottom="1080" w:left="1080" w:header="400" w:footer="400" w:gutter="0"/>
          <w:pgNumType/>
          <w:docGrid w:linePitch="360"/>
        </w:sectPr>
      </w:pPr>
    </w:p>
    <w:p>
      <w:pPr>
        <w:pStyle w:val="Heading1"/>
        <w:pageBreakBefore/>
        <w:spacing w:after="180" w:before="360"/>
      </w:pPr>
      <w:r>
        <w:rPr>
          <w:b/>
          <w:bCs/>
          <w:color w:val="D4AF37"/>
          <w:sz w:val="32"/>
          <w:szCs w:val="32"/>
        </w:rPr>
        <w:t xml:space="preserve">3.  </w:t>
      </w:r>
      <w:r>
        <w:rPr>
          <w:b/>
          <w:bCs/>
          <w:color w:val="1A365D"/>
          <w:sz w:val="32"/>
          <w:szCs w:val="32"/>
        </w:rPr>
        <w:t xml:space="preserve">Right to Win in Africa</w:t>
      </w:r>
    </w:p>
    <w:p>
      <w:pPr>
        <w:spacing w:after="80" w:before="80"/>
      </w:pPr>
      <w:r>
        <w:rPr>
          <w:color w:val="2D3748"/>
          <w:sz w:val="22"/>
          <w:szCs w:val="22"/>
        </w:rPr>
        <w:t xml:space="preserve">The following differentiators are structurally available to Atheris and structurally hard for global competitors to match — not because the competitors lack capital, but because matching them requires deliberate African investments (content, hosting, partners, pricing) that their global product strategies do not prioritise.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Differentiator</w:t>
            </w:r>
          </w:p>
        </w:tc>
        <w:tc>
          <w:tcPr>
            <w:tcW w:type="dxa" w:w="65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18"/>
                <w:szCs w:val="18"/>
              </w:rPr>
              <w:t xml:space="preserve">Why global players structurally cannot match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Native CBN, NDPC and NAICOM regulatory fit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Atheris ships CBN Risk-Based Cybersecurity Framework, CBN IT Standards, CBN Outsourcing Guidelines, NDPA 2023, NDPR 2019, NAICOM ERM Guidelines and NDIC risk-based supervision expectations as authoritative, maintained content. Archer, ServiceNow, MetricStream, LogicGate, OneTrust, Fusion, Diligent and SAI360 do not. Closing this gap takes competitors 12–24 months per country and requires expensive local content partnerships they have not made.</w:t>
            </w:r>
          </w:p>
        </w:tc>
      </w:tr>
      <w:tr>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Air-gapped, on-prem Nigerian hosting</w:t>
            </w:r>
          </w:p>
        </w:tc>
        <w:tc>
          <w:tcPr>
            <w:tcW w:type="dxa" w:w="6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ServiceNow, LogicGate, OneTrust, SAI360 and Diligent are SaaS-only. Archer and MetricStream offer self-hosted but require USD-denominated infrastructure commitments that Nigerian CIOs cannot approve under current FX conditions. Atheris' single-codebase air-gapped Kubernetes bundle plus Galaxy Backbone / MainOne / Rack Centre partnerships meet CBN data-localisation and FGN procurement requirements competitors cannot satisfy.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Multi-regulator, multi-country returns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No global platform automates Nigerian regulator returns. Atheris becomes the only system where a single incident record auto-generates the CBN 24-hour advisory, NDPC 72-hour breach form and NFIU SAR when applicable — and the same substrate supports SARB South Africa, CBK Kenya and BoG Ghana. Category-defining capability.</w:t>
            </w:r>
          </w:p>
        </w:tc>
      </w:tr>
      <w:tr>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Naira pricing and African procurement reality</w:t>
            </w:r>
          </w:p>
        </w:tc>
        <w:tc>
          <w:tcPr>
            <w:tcW w:type="dxa" w:w="6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Atheris prices in Naira, Ghanaian cedi, Kenyan shilling and ZAR with quarterly instalments and CAPEX-friendly 3-year perpetual-plus-maintenance options. Global competitors are structurally USD-billed and CAPEX-averse — crushing on public-sector banks whose CAPEX committees reject OPEX-only deals.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Local implementation partners and time-zone-matched support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Atheris' certified Nigerian, East-African and Southern-African partner ecosystem (Cybervergent, Phillips Consulting, KPMG Nigeria, BDO South Africa, Strathmore, Deloitte West Africa) delivers WAT/EAT/CAT/SAST-zone support with senior GRC consultants who already speak the regulator's language. Global players route via US or India support, often 8–12 hours off local time.</w:t>
            </w:r>
          </w:p>
        </w:tc>
      </w:tr>
      <w:tr>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Nigerian threat, KRI and control content out-of-the-box</w:t>
            </w:r>
          </w:p>
        </w:tc>
        <w:tc>
          <w:tcPr>
            <w:tcW w:type="dxa" w:w="6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Pre-seeded libraries covering BEC, SIM-swap, USSD-session hijack, BVN harvesting, agent-banking skimming, NIBSS NIP fraud, WhatsApp-banking phishing, and ATM jackpotting. KRI library covering ATM-downtime %, NIBSS NIP failure rate, agent-network incidents, EOL AIX estates, etc. Competitors offer US/EU threat libraries; they do not cover African typologies.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1A365D"/>
                <w:sz w:val="18"/>
                <w:szCs w:val="18"/>
              </w:rPr>
              <w:t xml:space="preserve">Nigerian core-banking and switch ecosystem integrations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val="false"/>
                <w:bCs w:val="false"/>
                <w:color w:val="2D3748"/>
                <w:sz w:val="18"/>
                <w:szCs w:val="18"/>
              </w:rPr>
              <w:t xml:space="preserve">Pre-built read adapters for Finacle, Flexcube, T24, BankOne and Interswitch/NIBSS switches — unique in the global market. Turns GRC from a document platform into live IT risk telemetry tied to the actual systems that matter.</w:t>
            </w:r>
          </w:p>
        </w:tc>
      </w:tr>
      <w:tr>
        <w:tc>
          <w:tcPr>
            <w:tcW w:type="dxa" w:w="280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1A365D"/>
                <w:sz w:val="18"/>
                <w:szCs w:val="18"/>
              </w:rPr>
              <w:t xml:space="preserve">CBN-CSAT and FFIEC-CAT-Nigeria as first-class capabilities</w:t>
            </w:r>
          </w:p>
        </w:tc>
        <w:tc>
          <w:tcPr>
            <w:tcW w:type="dxa" w:w="65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val="false"/>
                <w:bCs w:val="false"/>
                <w:color w:val="2D3748"/>
                <w:sz w:val="18"/>
                <w:szCs w:val="18"/>
              </w:rPr>
              <w:t xml:space="preserve">The only ITSRM&amp;G platform in the world that natively implements the CBN-adapted FFIEC Cybersecurity Assessment Tool v1.1 — covering all 494 declarative statements, 47 inherent-risk criteria, 5 domains, digital approval, AI gap analysis and CBN-ready submission. This single capability wins every CBN-regulated client.</w:t>
            </w:r>
          </w:p>
        </w:tc>
      </w:tr>
    </w:tbl>
    <w:p>
      <w:pPr>
        <w:spacing w:after="80" w:before="80"/>
      </w:pPr>
      <w:r>
        <w:rPr>
          <w:i/>
          <w:iCs/>
          <w:color w:val="2D3748"/>
          <w:sz w:val="22"/>
          <w:szCs w:val="22"/>
        </w:rPr>
        <w:t xml:space="preserve">Strategy note: each differentiator is reinforcing. Regulator packs create pull-through for the CBN-CSAT. The CBN-CSAT creates pull-through for the shared Nigerian vendor directory. The shared directory creates pull-through for the regulatory-returns engine. Air-gapped deployment is the structural barrier protecting them all from competitive replication — a global SaaS with no Nigerian data-residency answer loses the deal before the demo.</w:t>
      </w:r>
    </w:p>
    <w:p>
      <w:pPr>
        <w:pStyle w:val="Heading1"/>
        <w:pageBreakBefore/>
        <w:spacing w:after="180" w:before="360"/>
      </w:pPr>
      <w:r>
        <w:rPr>
          <w:b/>
          <w:bCs/>
          <w:color w:val="D4AF37"/>
          <w:sz w:val="32"/>
          <w:szCs w:val="32"/>
        </w:rPr>
        <w:t xml:space="preserve">4.  </w:t>
      </w:r>
      <w:r>
        <w:rPr>
          <w:b/>
          <w:bCs/>
          <w:color w:val="1A365D"/>
          <w:sz w:val="32"/>
          <w:szCs w:val="32"/>
        </w:rPr>
        <w:t xml:space="preserve">Phased roadmap to close the gap</w:t>
      </w:r>
    </w:p>
    <w:p>
      <w:pPr>
        <w:spacing w:after="80" w:before="80"/>
      </w:pPr>
      <w:r>
        <w:rPr>
          <w:color w:val="2D3748"/>
          <w:sz w:val="22"/>
          <w:szCs w:val="22"/>
        </w:rPr>
        <w:t xml:space="preserve">The roadmap is organised into three horizons — NOW (months 0–6) for P0 parity moves, NEXT (months 7–12) for P0/P1 leapfrog differentiators, and LATER (months 13–18) for category-defining moves. The sequencing ensures Atheris wins every competitive bid in-year while keeping the build backlog funded by CBN-CSAT revenue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22"/>
                <w:szCs w:val="22"/>
              </w:rPr>
              <w:t xml:space="preserve">NOW (Months 0–6) — P0 Table-Stakes Parity</w:t>
            </w:r>
          </w:p>
        </w:tc>
      </w:tr>
      <w:tr>
        <w:tc>
          <w:tcPr>
            <w:tcW w:type="dxa" w:w="9360"/>
            <w:tcBorders>
              <w:top w:val="single" w:color="CCCCCC" w:sz="4"/>
              <w:left w:val="single" w:color="CCCCCC" w:sz="4"/>
              <w:bottom w:val="single" w:color="CCCCCC" w:sz="4"/>
              <w:right w:val="single" w:color="CCCCCC" w:sz="4"/>
            </w:tcBorders>
            <w:shd w:fill="D6DEEA" w:val="clear"/>
            <w:tcMar>
              <w:top w:type="dxa" w:w="80"/>
              <w:left w:type="dxa" w:w="100"/>
              <w:bottom w:type="dxa" w:w="80"/>
              <w:right w:type="dxa" w:w="100"/>
            </w:tcMar>
            <w:vAlign w:val="top"/>
          </w:tcPr>
          <w:p>
            <w:pPr>
              <w:spacing w:after="30" w:before="30"/>
            </w:pPr>
            <w:r>
              <w:rPr>
                <w:b w:val="false"/>
                <w:bCs w:val="false"/>
                <w:color w:val="1A365D"/>
                <w:sz w:val="20"/>
                <w:szCs w:val="20"/>
              </w:rPr>
              <w:t xml:space="preserve">Close competitive parity gaps that block enterprise wins.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Launch CBN-CSAT v1.0 production (BRD Phases 1–3).</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Ship SSO/SCIM (Entra ID, Okta, Ping) and public versioned REST API with OpenAPI 3.0.</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Deliver asset discovery connectors (AD/Entra, AWS, Tenable, Qualys) + Nigerian business-service reference model.</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Introduce unified Issue object with SLA engine, escalation and Jira/ServiceNow connectors.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Ship Atheris Unified Control Set (AUCS) v1 mapped to ISO 27001:2022, NIST CSF 2.0, CBN RBCSF, NDPA, PCI-DSS v4.0.1.</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Release Continuous Controls Monitoring engine with 40+ starter tests.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Deliver Nigerian KRI pack (30 KRIs) and board-pack exporter (PowerPoint + PDF).</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Productise air-gapped Kubernetes deployment bundle and announce Galaxy Backbone/MainOne hosting partners.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Publish Naira price book and three-tier commercial model.</w:t>
            </w:r>
          </w:p>
        </w:tc>
      </w:tr>
    </w:tbl>
    <w:p>
      <w:pPr>
        <w:spacing w:after="80" w:before="80"/>
      </w:pPr>
      <w:r>
        <w:rPr>
          <w:color w:val="2D374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22"/>
                <w:szCs w:val="22"/>
              </w:rPr>
              <w:t xml:space="preserve">NEXT (Months 7–12) — P0/P1 Leapfrog Differentiators</w:t>
            </w:r>
          </w:p>
        </w:tc>
      </w:tr>
      <w:tr>
        <w:tc>
          <w:tcPr>
            <w:tcW w:type="dxa" w:w="9360"/>
            <w:tcBorders>
              <w:top w:val="single" w:color="CCCCCC" w:sz="4"/>
              <w:left w:val="single" w:color="CCCCCC" w:sz="4"/>
              <w:bottom w:val="single" w:color="CCCCCC" w:sz="4"/>
              <w:right w:val="single" w:color="CCCCCC" w:sz="4"/>
            </w:tcBorders>
            <w:shd w:fill="D6DEEA" w:val="clear"/>
            <w:tcMar>
              <w:top w:type="dxa" w:w="80"/>
              <w:left w:type="dxa" w:w="100"/>
              <w:bottom w:type="dxa" w:w="80"/>
              <w:right w:type="dxa" w:w="100"/>
            </w:tcMar>
            <w:vAlign w:val="top"/>
          </w:tcPr>
          <w:p>
            <w:pPr>
              <w:spacing w:after="30" w:before="30"/>
            </w:pPr>
            <w:r>
              <w:rPr>
                <w:b w:val="false"/>
                <w:bCs w:val="false"/>
                <w:color w:val="1A365D"/>
                <w:sz w:val="20"/>
                <w:szCs w:val="20"/>
              </w:rPr>
              <w:t xml:space="preserve">Move from parity to differentiation in AI, content and regulatory intelligence.</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Launch Atheris Copilot (Claude via Prism) for risk, control and policy natural-language querying.</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Release Atheris Regulatory Intelligence feed covering CBN, NDPC, SEC Nigeria, NCC, NAICOM, PENCOM, NDIC.</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Ship vendor continuous-monitoring integration (SecurityScorecard) + Nigerian shared-vendor directory.</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Add SIEM/SOAR connectors (Sentinel, Wazuh, Splunk ES) and CBN/NDPC/NFIU notification template pack.</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Release FAIR quant module with Naira ALE + Monte Carlo.</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Ship EPSS/KEV enrichment and CBN-aligned vulnerability SLA engine.</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Release document intelligence for CBN circular parsing.</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Deliver CBN return automation (CRMS IT return, cyber self-assessment, NDPC audit report).</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Launch French and Portuguese UI; publish Ghana and Kenya regulator packs.</w:t>
            </w:r>
          </w:p>
        </w:tc>
      </w:tr>
    </w:tbl>
    <w:p>
      <w:pPr>
        <w:spacing w:after="80" w:before="80"/>
      </w:pPr>
      <w:r>
        <w:rPr>
          <w:color w:val="2D3748"/>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A365D" w:val="clear"/>
            <w:tcMar>
              <w:top w:type="dxa" w:w="80"/>
              <w:left w:type="dxa" w:w="100"/>
              <w:bottom w:type="dxa" w:w="80"/>
              <w:right w:type="dxa" w:w="100"/>
            </w:tcMar>
            <w:vAlign w:val="top"/>
          </w:tcPr>
          <w:p>
            <w:pPr>
              <w:spacing w:after="30" w:before="30"/>
            </w:pPr>
            <w:r>
              <w:rPr>
                <w:b/>
                <w:bCs/>
                <w:color w:val="FFFFFF"/>
                <w:sz w:val="22"/>
                <w:szCs w:val="22"/>
              </w:rPr>
              <w:t xml:space="preserve">LATER (Months 13–18) — P1/P2 Category-Defining Moves</w:t>
            </w:r>
          </w:p>
        </w:tc>
      </w:tr>
      <w:tr>
        <w:tc>
          <w:tcPr>
            <w:tcW w:type="dxa" w:w="9360"/>
            <w:tcBorders>
              <w:top w:val="single" w:color="CCCCCC" w:sz="4"/>
              <w:left w:val="single" w:color="CCCCCC" w:sz="4"/>
              <w:bottom w:val="single" w:color="CCCCCC" w:sz="4"/>
              <w:right w:val="single" w:color="CCCCCC" w:sz="4"/>
            </w:tcBorders>
            <w:shd w:fill="D6DEEA" w:val="clear"/>
            <w:tcMar>
              <w:top w:type="dxa" w:w="80"/>
              <w:left w:type="dxa" w:w="100"/>
              <w:bottom w:type="dxa" w:w="80"/>
              <w:right w:type="dxa" w:w="100"/>
            </w:tcMar>
            <w:vAlign w:val="top"/>
          </w:tcPr>
          <w:p>
            <w:pPr>
              <w:spacing w:after="30" w:before="30"/>
            </w:pPr>
            <w:r>
              <w:rPr>
                <w:b w:val="false"/>
                <w:bCs w:val="false"/>
                <w:color w:val="1A365D"/>
                <w:sz w:val="20"/>
                <w:szCs w:val="20"/>
              </w:rPr>
              <w:t xml:space="preserve">Turn differentiation into unbeatable moats.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Release low-code workflow builder with Nigerian workflow-template marketplace.</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Ship Finacle/Flexcube/T24/BankOne core-banking read adapters.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Deliver DR runbook orchestration (NIBSS failover, switch failover).</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Launch Arabic (RTL) and Swahili UI; publish SARB, CBK, BoG, Bank Al-Maghrib packs.</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Add tenant-branded theming and full field-level customisation.</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Release Atheris Copilot for board-pack drafting and CBN examiner Q&amp;A.</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Ship certified SOC 2 Type II and ISO 27001 for the hosting environment.</w:t>
            </w:r>
          </w:p>
        </w:tc>
      </w:tr>
      <w:tr>
        <w:tc>
          <w:tcPr>
            <w:tcW w:type="dxa" w:w="9360"/>
            <w:tcBorders>
              <w:top w:val="single" w:color="CCCCCC" w:sz="4"/>
              <w:left w:val="single" w:color="CCCCCC" w:sz="4"/>
              <w:bottom w:val="single" w:color="CCCCCC" w:sz="4"/>
              <w:right w:val="single" w:color="CCCCCC" w:sz="4"/>
            </w:tcBorders>
            <w:shd w:fill="F7FAFC" w:val="clear"/>
            <w:tcMar>
              <w:top w:type="dxa" w:w="80"/>
              <w:left w:type="dxa" w:w="100"/>
              <w:bottom w:type="dxa" w:w="80"/>
              <w:right w:type="dxa" w:w="100"/>
            </w:tcMar>
            <w:vAlign w:val="top"/>
          </w:tcPr>
          <w:p>
            <w:pPr>
              <w:spacing w:after="30" w:before="30"/>
            </w:pPr>
            <w:r>
              <w:rPr>
                <w:b/>
                <w:bCs/>
                <w:color w:val="D4AF37"/>
                <w:sz w:val="20"/>
                <w:szCs w:val="20"/>
              </w:rPr>
              <w:t xml:space="preserve">• </w:t>
            </w:r>
            <w:r>
              <w:rPr>
                <w:color w:val="2D3748"/>
                <w:sz w:val="20"/>
                <w:szCs w:val="20"/>
              </w:rPr>
              <w:t xml:space="preserve">Publish a public Atheris Content Marketplace with regulatory packs, KRIs and workflows.</w:t>
            </w:r>
          </w:p>
        </w:tc>
      </w:tr>
    </w:tbl>
    <w:p>
      <w:pPr>
        <w:spacing w:after="80" w:before="80"/>
      </w:pPr>
      <w:r>
        <w:rPr>
          <w:color w:val="2D3748"/>
          <w:sz w:val="22"/>
          <w:szCs w:val="22"/>
        </w:rPr>
        <w:t xml:space="preserve"> </w:t>
      </w:r>
    </w:p>
    <w:p>
      <w:pPr>
        <w:pStyle w:val="Heading1"/>
        <w:pageBreakBefore/>
        <w:spacing w:after="180" w:before="360"/>
      </w:pPr>
      <w:r>
        <w:rPr>
          <w:b/>
          <w:bCs/>
          <w:color w:val="D4AF37"/>
          <w:sz w:val="32"/>
          <w:szCs w:val="32"/>
        </w:rPr>
        <w:t xml:space="preserve">5.  </w:t>
      </w:r>
      <w:r>
        <w:rPr>
          <w:b/>
          <w:bCs/>
          <w:color w:val="1A365D"/>
          <w:sz w:val="32"/>
          <w:szCs w:val="32"/>
        </w:rPr>
        <w:t xml:space="preserve">Sources</w:t>
      </w:r>
    </w:p>
    <w:p>
      <w:pPr>
        <w:spacing w:after="80" w:before="80"/>
      </w:pPr>
      <w:r>
        <w:rPr>
          <w:color w:val="2D3748"/>
          <w:sz w:val="22"/>
          <w:szCs w:val="22"/>
        </w:rPr>
        <w:t xml:space="preserve">This report draws on publicly available vendor documentation, analyst coverage and regulator publications. Competitor capability claims synthesise published material; depth and implementation reality are known to vary by client engagement. The analyst team has supplemented this with field observations from 2024–2026 Nigerian banking and fintech engagements. Specific vendor product details should be re-verified against current data-sheets before commercial negotiation.</w:t>
      </w:r>
    </w:p>
    <w:p>
      <w:pPr>
        <w:pStyle w:val="ListParagraph"/>
        <w:numPr>
          <w:ilvl w:val="0"/>
          <w:numId w:val="2"/>
        </w:numPr>
        <w:spacing w:after="40" w:before="40"/>
      </w:pPr>
      <w:r>
        <w:rPr>
          <w:color w:val="2D3748"/>
          <w:sz w:val="22"/>
          <w:szCs w:val="22"/>
        </w:rPr>
        <w:t xml:space="preserve">1. Gartner Magic Quadrant for IT Risk Management 2024 (published November 2024).</w:t>
      </w:r>
    </w:p>
    <w:p>
      <w:pPr>
        <w:pStyle w:val="ListParagraph"/>
        <w:numPr>
          <w:ilvl w:val="0"/>
          <w:numId w:val="2"/>
        </w:numPr>
        <w:spacing w:after="40" w:before="40"/>
      </w:pPr>
      <w:r>
        <w:rPr>
          <w:color w:val="2D3748"/>
          <w:sz w:val="22"/>
          <w:szCs w:val="22"/>
        </w:rPr>
        <w:t xml:space="preserve">2. Forrester Wave: Governance, Risk, and Compliance Platforms, Q4 2024.</w:t>
      </w:r>
    </w:p>
    <w:p>
      <w:pPr>
        <w:pStyle w:val="ListParagraph"/>
        <w:numPr>
          <w:ilvl w:val="0"/>
          <w:numId w:val="2"/>
        </w:numPr>
        <w:spacing w:after="40" w:before="40"/>
      </w:pPr>
      <w:r>
        <w:rPr>
          <w:color w:val="2D3748"/>
          <w:sz w:val="22"/>
          <w:szCs w:val="22"/>
        </w:rPr>
        <w:t xml:space="preserve">3. IDC MarketScape: Worldwide Integrated Risk Management Solutions 2024.</w:t>
      </w:r>
    </w:p>
    <w:p>
      <w:pPr>
        <w:pStyle w:val="ListParagraph"/>
        <w:numPr>
          <w:ilvl w:val="0"/>
          <w:numId w:val="2"/>
        </w:numPr>
        <w:spacing w:after="40" w:before="40"/>
      </w:pPr>
      <w:r>
        <w:rPr>
          <w:color w:val="2D3748"/>
          <w:sz w:val="22"/>
          <w:szCs w:val="22"/>
        </w:rPr>
        <w:t xml:space="preserve">4. Archer: "IT &amp; Security Risk Management" solution brief, archerirm.com (accessed 2025).</w:t>
      </w:r>
    </w:p>
    <w:p>
      <w:pPr>
        <w:pStyle w:val="ListParagraph"/>
        <w:numPr>
          <w:ilvl w:val="0"/>
          <w:numId w:val="2"/>
        </w:numPr>
        <w:spacing w:after="40" w:before="40"/>
      </w:pPr>
      <w:r>
        <w:rPr>
          <w:color w:val="2D3748"/>
          <w:sz w:val="22"/>
          <w:szCs w:val="22"/>
        </w:rPr>
        <w:t xml:space="preserve">5. ServiceNow IRM and SecOps product documentation, servicenow.com (accessed 2025).</w:t>
      </w:r>
    </w:p>
    <w:p>
      <w:pPr>
        <w:pStyle w:val="ListParagraph"/>
        <w:numPr>
          <w:ilvl w:val="0"/>
          <w:numId w:val="2"/>
        </w:numPr>
        <w:spacing w:after="40" w:before="40"/>
      </w:pPr>
      <w:r>
        <w:rPr>
          <w:color w:val="2D3748"/>
          <w:sz w:val="22"/>
          <w:szCs w:val="22"/>
        </w:rPr>
        <w:t xml:space="preserve">6. MetricStream CyberGRC product datasheet, metricstream.com (accessed 2025).</w:t>
      </w:r>
    </w:p>
    <w:p>
      <w:pPr>
        <w:pStyle w:val="ListParagraph"/>
        <w:numPr>
          <w:ilvl w:val="0"/>
          <w:numId w:val="2"/>
        </w:numPr>
        <w:spacing w:after="40" w:before="40"/>
      </w:pPr>
      <w:r>
        <w:rPr>
          <w:color w:val="2D3748"/>
          <w:sz w:val="22"/>
          <w:szCs w:val="22"/>
        </w:rPr>
        <w:t xml:space="preserve">7. LogicGate Risk Cloud product pages and Cyber Risk &amp; Controls Application docs, logicgate.com.</w:t>
      </w:r>
    </w:p>
    <w:p>
      <w:pPr>
        <w:pStyle w:val="ListParagraph"/>
        <w:numPr>
          <w:ilvl w:val="0"/>
          <w:numId w:val="2"/>
        </w:numPr>
        <w:spacing w:after="40" w:before="40"/>
      </w:pPr>
      <w:r>
        <w:rPr>
          <w:color w:val="2D3748"/>
          <w:sz w:val="22"/>
          <w:szCs w:val="22"/>
        </w:rPr>
        <w:t xml:space="preserve">8. OneTrust Tech Risk &amp; Compliance and OneTrust Certification Automation product pages, onetrust.com.</w:t>
      </w:r>
    </w:p>
    <w:p>
      <w:pPr>
        <w:pStyle w:val="ListParagraph"/>
        <w:numPr>
          <w:ilvl w:val="0"/>
          <w:numId w:val="2"/>
        </w:numPr>
        <w:spacing w:after="40" w:before="40"/>
      </w:pPr>
      <w:r>
        <w:rPr>
          <w:color w:val="2D3748"/>
          <w:sz w:val="22"/>
          <w:szCs w:val="22"/>
        </w:rPr>
        <w:t xml:space="preserve">9. Fusion Risk Management product documentation, fusionrm.com.</w:t>
      </w:r>
    </w:p>
    <w:p>
      <w:pPr>
        <w:pStyle w:val="ListParagraph"/>
        <w:numPr>
          <w:ilvl w:val="0"/>
          <w:numId w:val="2"/>
        </w:numPr>
        <w:spacing w:after="40" w:before="40"/>
      </w:pPr>
      <w:r>
        <w:rPr>
          <w:color w:val="2D3748"/>
          <w:sz w:val="22"/>
          <w:szCs w:val="22"/>
        </w:rPr>
        <w:t xml:space="preserve">10. Diligent HighBond/Galvanize product brief (now part of Diligent), diligent.com.</w:t>
      </w:r>
    </w:p>
    <w:p>
      <w:pPr>
        <w:pStyle w:val="ListParagraph"/>
        <w:numPr>
          <w:ilvl w:val="0"/>
          <w:numId w:val="2"/>
        </w:numPr>
        <w:spacing w:after="40" w:before="40"/>
      </w:pPr>
      <w:r>
        <w:rPr>
          <w:color w:val="2D3748"/>
          <w:sz w:val="22"/>
          <w:szCs w:val="22"/>
        </w:rPr>
        <w:t xml:space="preserve">11. SAI360 GRC Platform product pages, sai360.com.</w:t>
      </w:r>
    </w:p>
    <w:p>
      <w:pPr>
        <w:pStyle w:val="ListParagraph"/>
        <w:numPr>
          <w:ilvl w:val="0"/>
          <w:numId w:val="2"/>
        </w:numPr>
        <w:spacing w:after="40" w:before="40"/>
      </w:pPr>
      <w:r>
        <w:rPr>
          <w:color w:val="2D3748"/>
          <w:sz w:val="22"/>
          <w:szCs w:val="22"/>
        </w:rPr>
        <w:t xml:space="preserve">12. Central Bank of Nigeria (CBN) Risk-Based Cybersecurity Framework and Guidelines (2018, 2021 revisions).</w:t>
      </w:r>
    </w:p>
    <w:p>
      <w:pPr>
        <w:pStyle w:val="ListParagraph"/>
        <w:numPr>
          <w:ilvl w:val="0"/>
          <w:numId w:val="2"/>
        </w:numPr>
        <w:spacing w:after="40" w:before="40"/>
      </w:pPr>
      <w:r>
        <w:rPr>
          <w:color w:val="2D3748"/>
          <w:sz w:val="22"/>
          <w:szCs w:val="22"/>
        </w:rPr>
        <w:t xml:space="preserve">13. CBN Framework for the Regulation and Supervision of Domestic Systemically Important Banks (D-SIBs) in Nigeria.</w:t>
      </w:r>
    </w:p>
    <w:p>
      <w:pPr>
        <w:pStyle w:val="ListParagraph"/>
        <w:numPr>
          <w:ilvl w:val="0"/>
          <w:numId w:val="2"/>
        </w:numPr>
        <w:spacing w:after="40" w:before="40"/>
      </w:pPr>
      <w:r>
        <w:rPr>
          <w:color w:val="2D3748"/>
          <w:sz w:val="22"/>
          <w:szCs w:val="22"/>
        </w:rPr>
        <w:t xml:space="preserve">14. Nigeria Data Protection Act 2023 (NDPA) and NDPR 2019.</w:t>
      </w:r>
    </w:p>
    <w:p>
      <w:pPr>
        <w:pStyle w:val="ListParagraph"/>
        <w:numPr>
          <w:ilvl w:val="0"/>
          <w:numId w:val="2"/>
        </w:numPr>
        <w:spacing w:after="40" w:before="40"/>
      </w:pPr>
      <w:r>
        <w:rPr>
          <w:color w:val="2D3748"/>
          <w:sz w:val="22"/>
          <w:szCs w:val="22"/>
        </w:rPr>
        <w:t xml:space="preserve">15. NAICOM Risk Management Guidelines for Insurance Institutions.</w:t>
      </w:r>
    </w:p>
    <w:p>
      <w:pPr>
        <w:pStyle w:val="ListParagraph"/>
        <w:numPr>
          <w:ilvl w:val="0"/>
          <w:numId w:val="2"/>
        </w:numPr>
        <w:spacing w:after="40" w:before="40"/>
      </w:pPr>
      <w:r>
        <w:rPr>
          <w:color w:val="2D3748"/>
          <w:sz w:val="22"/>
          <w:szCs w:val="22"/>
        </w:rPr>
        <w:t xml:space="preserve">16. NDIC Framework for Risk-Based Supervision.</w:t>
      </w:r>
    </w:p>
    <w:p>
      <w:pPr>
        <w:pStyle w:val="ListParagraph"/>
        <w:numPr>
          <w:ilvl w:val="0"/>
          <w:numId w:val="2"/>
        </w:numPr>
        <w:spacing w:after="40" w:before="40"/>
      </w:pPr>
      <w:r>
        <w:rPr>
          <w:color w:val="2D3748"/>
          <w:sz w:val="22"/>
          <w:szCs w:val="22"/>
        </w:rPr>
        <w:t xml:space="preserve">17. ISO/IEC 27001:2022, ISO/IEC 27002:2022, ISO/IEC 27005:2022.</w:t>
      </w:r>
    </w:p>
    <w:p>
      <w:pPr>
        <w:pStyle w:val="ListParagraph"/>
        <w:numPr>
          <w:ilvl w:val="0"/>
          <w:numId w:val="2"/>
        </w:numPr>
        <w:spacing w:after="40" w:before="40"/>
      </w:pPr>
      <w:r>
        <w:rPr>
          <w:color w:val="2D3748"/>
          <w:sz w:val="22"/>
          <w:szCs w:val="22"/>
        </w:rPr>
        <w:t xml:space="preserve">18. NIST Cybersecurity Framework 2.0 (February 2024).</w:t>
      </w:r>
    </w:p>
    <w:p>
      <w:pPr>
        <w:pStyle w:val="ListParagraph"/>
        <w:numPr>
          <w:ilvl w:val="0"/>
          <w:numId w:val="2"/>
        </w:numPr>
        <w:spacing w:after="40" w:before="40"/>
      </w:pPr>
      <w:r>
        <w:rPr>
          <w:color w:val="2D3748"/>
          <w:sz w:val="22"/>
          <w:szCs w:val="22"/>
        </w:rPr>
        <w:t xml:space="preserve">19. PCI DSS v4.0.1 (June 2024).</w:t>
      </w:r>
    </w:p>
    <w:p>
      <w:pPr>
        <w:pStyle w:val="ListParagraph"/>
        <w:numPr>
          <w:ilvl w:val="0"/>
          <w:numId w:val="2"/>
        </w:numPr>
        <w:spacing w:after="40" w:before="40"/>
      </w:pPr>
      <w:r>
        <w:rPr>
          <w:color w:val="2D3748"/>
          <w:sz w:val="22"/>
          <w:szCs w:val="22"/>
        </w:rPr>
        <w:t xml:space="preserve">20. FFIEC Cybersecurity Assessment Tool v1.1 (May 2017).</w:t>
      </w:r>
    </w:p>
    <w:p>
      <w:pPr>
        <w:pStyle w:val="ListParagraph"/>
        <w:numPr>
          <w:ilvl w:val="0"/>
          <w:numId w:val="2"/>
        </w:numPr>
        <w:spacing w:after="40" w:before="40"/>
      </w:pPr>
      <w:r>
        <w:rPr>
          <w:color w:val="2D3748"/>
          <w:sz w:val="22"/>
          <w:szCs w:val="22"/>
        </w:rPr>
        <w:t xml:space="preserve">21. Basel Committee on Banking Supervision — Principles for Operational Resilience (2021).</w:t>
      </w:r>
    </w:p>
    <w:sectPr>
      <w:headerReference w:type="default" r:id="rId10"/>
      <w:footerReference w:type="default" r:id="rId11"/>
      <w:type w:val="nextPage"/>
      <w:pgSz w:w="12240" w:h="15840" w:orient="portrait"/>
      <w:pgMar w:top="1080" w:right="1080" w:bottom="1080" w:left="108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jc w:val="right"/>
    </w:pPr>
    <w:r>
      <w:rPr>
        <w:color w:val="718096"/>
        <w:sz w:val="16"/>
        <w:szCs w:val="16"/>
      </w:rPr>
      <w:t xml:space="preserve">Confidential — Atheris Limited</w:t>
    </w:r>
    <w:r>
      <w:rPr>
        <w:color w:val="718096"/>
        <w:sz w:val="16"/>
        <w:szCs w:val="16"/>
      </w:rPr>
      <w:t xml:space="preserve">	Page </w:t>
    </w:r>
    <w:r>
      <w:rPr>
        <w:color w:val="718096"/>
        <w:sz w:val="16"/>
        <w:szCs w:val="16"/>
      </w:rPr>
      <w:fldChar w:fldCharType="begin"/>
      <w:instrText xml:space="preserve">PAGE</w:instrText>
      <w:fldChar w:fldCharType="separate"/>
      <w:fldChar w:fldCharType="end"/>
    </w:r>
    <w:r>
      <w:rPr>
        <w:color w:val="718096"/>
        <w:sz w:val="16"/>
        <w:szCs w:val="16"/>
      </w:rPr>
      <w:t xml:space="preserve"> of </w:t>
    </w:r>
    <w:r>
      <w:rPr>
        <w:color w:val="71809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jc w:val="right"/>
    </w:pPr>
    <w:r>
      <w:rPr>
        <w:color w:val="718096"/>
        <w:sz w:val="16"/>
        <w:szCs w:val="16"/>
      </w:rPr>
      <w:t xml:space="preserve">Confidential — Atheris Limited</w:t>
    </w:r>
    <w:r>
      <w:rPr>
        <w:color w:val="718096"/>
        <w:sz w:val="16"/>
        <w:szCs w:val="16"/>
      </w:rPr>
      <w:t xml:space="preserve">	Page </w:t>
    </w:r>
    <w:r>
      <w:rPr>
        <w:color w:val="718096"/>
        <w:sz w:val="16"/>
        <w:szCs w:val="16"/>
      </w:rPr>
      <w:fldChar w:fldCharType="begin"/>
      <w:instrText xml:space="preserve">PAGE</w:instrText>
      <w:fldChar w:fldCharType="separate"/>
      <w:fldChar w:fldCharType="end"/>
    </w:r>
    <w:r>
      <w:rPr>
        <w:color w:val="718096"/>
        <w:sz w:val="16"/>
        <w:szCs w:val="16"/>
      </w:rPr>
      <w:t xml:space="preserve"> of </w:t>
    </w:r>
    <w:r>
      <w:rPr>
        <w:color w:val="71809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jc w:val="right"/>
    </w:pPr>
    <w:r>
      <w:rPr>
        <w:color w:val="718096"/>
        <w:sz w:val="16"/>
        <w:szCs w:val="16"/>
      </w:rPr>
      <w:t xml:space="preserve">Confidential — Atheris Limited</w:t>
    </w:r>
    <w:r>
      <w:rPr>
        <w:color w:val="718096"/>
        <w:sz w:val="16"/>
        <w:szCs w:val="16"/>
      </w:rPr>
      <w:t xml:space="preserve">	Page </w:t>
    </w:r>
    <w:r>
      <w:rPr>
        <w:color w:val="718096"/>
        <w:sz w:val="16"/>
        <w:szCs w:val="16"/>
      </w:rPr>
      <w:fldChar w:fldCharType="begin"/>
      <w:instrText xml:space="preserve">PAGE</w:instrText>
      <w:fldChar w:fldCharType="separate"/>
      <w:fldChar w:fldCharType="end"/>
    </w:r>
    <w:r>
      <w:rPr>
        <w:color w:val="718096"/>
        <w:sz w:val="16"/>
        <w:szCs w:val="16"/>
      </w:rPr>
      <w:t xml:space="preserve"> of </w:t>
    </w:r>
    <w:r>
      <w:rPr>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6" w:space="4"/>
      </w:pBdr>
      <w:jc w:val="left"/>
    </w:pPr>
    <w:r>
      <w:rPr>
        <w:b/>
        <w:bCs/>
        <w:color w:val="1A365D"/>
        <w:sz w:val="18"/>
        <w:szCs w:val="18"/>
      </w:rPr>
      <w:t xml:space="preserve">ATHERIS</w:t>
    </w:r>
    <w:r>
      <w:rPr>
        <w:color w:val="718096"/>
        <w:sz w:val="18"/>
        <w:szCs w:val="18"/>
      </w:rPr>
      <w:t xml:space="preserve">  |  Capability Gap Matrix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6" w:space="4"/>
      </w:pBdr>
      <w:jc w:val="left"/>
    </w:pPr>
    <w:r>
      <w:rPr>
        <w:b/>
        <w:bCs/>
        <w:color w:val="1A365D"/>
        <w:sz w:val="18"/>
        <w:szCs w:val="18"/>
      </w:rPr>
      <w:t xml:space="preserve">ATHERIS</w:t>
    </w:r>
    <w:r>
      <w:rPr>
        <w:color w:val="718096"/>
        <w:sz w:val="18"/>
        <w:szCs w:val="18"/>
      </w:rPr>
      <w:t xml:space="preserve">  |  IT &amp; Security Risk Management — Competitive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365D"/>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Atheris IT &amp; Security Risk Management — Competitive Gap Analysis</dc:title>
  <dc:creator>Atheris Product Strategy</dc:creator>
  <dc:description>Competitive gap analysis for ITSRM&amp;G benchmarked against 8 global platforms with Africa strategy.</dc:description>
  <cp:lastModifiedBy>Un-named</cp:lastModifiedBy>
  <cp:revision>1</cp:revision>
  <dcterms:created xsi:type="dcterms:W3CDTF">2026-04-19T14:25:14.327Z</dcterms:created>
  <dcterms:modified xsi:type="dcterms:W3CDTF">2026-04-19T14:25:14.329Z</dcterms:modified>
</cp:coreProperties>
</file>

<file path=docProps/custom.xml><?xml version="1.0" encoding="utf-8"?>
<Properties xmlns="http://schemas.openxmlformats.org/officeDocument/2006/custom-properties" xmlns:vt="http://schemas.openxmlformats.org/officeDocument/2006/docPropsVTypes"/>
</file>