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C8102E"/>
          <w:spacing w:val="60"/>
          <w:sz w:val="28"/>
          <w:szCs w:val="28"/>
        </w:rPr>
        <w:t xml:space="preserve">BUSINESS REQUIREMENTS DOCUMENT</w:t>
      </w:r>
    </w:p>
    <w:p>
      <w:pPr>
        <w:spacing w:after="100" w:before="0"/>
      </w:pPr>
      <w:r>
        <w:rPr>
          <w:rFonts w:ascii="Calibri" w:cs="Calibri" w:eastAsia="Calibri" w:hAnsi="Calibri"/>
          <w:b/>
          <w:bCs/>
          <w:color w:val="111111"/>
          <w:sz w:val="72"/>
          <w:szCs w:val="72"/>
        </w:rPr>
        <w:t xml:space="preserve">NGCOMPLY PLATFORM</w:t>
      </w:r>
    </w:p>
    <w:p>
      <w:pPr>
        <w:pBdr>
          <w:bottom w:val="single" w:color="C8102E" w:sz="12" w:space="4"/>
        </w:pBdr>
        <w:spacing w:after="400" w:before="200"/>
      </w:pPr>
      <w:r>
        <w:rPr>
          <w:rFonts w:ascii="Calibri" w:cs="Calibri" w:eastAsia="Calibri" w:hAnsi="Calibri"/>
          <w:sz w:val="4"/>
          <w:szCs w:val="4"/>
        </w:rPr>
        <w:t xml:space="preserve"> </w:t>
      </w:r>
    </w:p>
    <w:p>
      <w:pPr>
        <w:spacing w:after="600" w:before="100"/>
      </w:pPr>
      <w:r>
        <w:rPr>
          <w:rFonts w:ascii="Calibri" w:cs="Calibri" w:eastAsia="Calibri" w:hAnsi="Calibri"/>
          <w:b w:val="false"/>
          <w:bCs w:val="false"/>
          <w:color w:val="333333"/>
          <w:sz w:val="36"/>
          <w:szCs w:val="36"/>
        </w:rPr>
        <w:t xml:space="preserve">An Integrated Regulatory Compliance Management Solution for Nigerian Banks &amp; Financial Institutions</w:t>
      </w:r>
    </w:p>
    <w:p>
      <w:pPr>
        <w:spacing w:after="120" w:before="400"/>
      </w:pPr>
      <w:r>
        <w:rPr>
          <w:rFonts w:ascii="Calibri" w:cs="Calibri" w:eastAsia="Calibri" w:hAnsi="Calibri"/>
          <w:color w:val="555555"/>
          <w:sz w:val="22"/>
          <w:szCs w:val="22"/>
        </w:rPr>
        <w:t xml:space="preserve">Product code:  </w:t>
      </w:r>
      <w:r>
        <w:rPr>
          <w:rFonts w:ascii="Calibri" w:cs="Calibri" w:eastAsia="Calibri" w:hAnsi="Calibri"/>
          <w:b/>
          <w:bCs/>
          <w:color w:val="212121"/>
          <w:sz w:val="22"/>
          <w:szCs w:val="22"/>
        </w:rPr>
        <w:t xml:space="preserve">NGCOMPLY-1.0</w:t>
      </w:r>
    </w:p>
    <w:p>
      <w:pPr>
        <w:spacing w:after="120" w:before="0"/>
      </w:pPr>
      <w:r>
        <w:rPr>
          <w:rFonts w:ascii="Calibri" w:cs="Calibri" w:eastAsia="Calibri" w:hAnsi="Calibri"/>
          <w:color w:val="555555"/>
          <w:sz w:val="22"/>
          <w:szCs w:val="22"/>
        </w:rPr>
        <w:t xml:space="preserve">Version:  </w:t>
      </w:r>
      <w:r>
        <w:rPr>
          <w:rFonts w:ascii="Calibri" w:cs="Calibri" w:eastAsia="Calibri" w:hAnsi="Calibri"/>
          <w:b/>
          <w:bCs/>
          <w:color w:val="212121"/>
          <w:sz w:val="22"/>
          <w:szCs w:val="22"/>
        </w:rPr>
        <w:t xml:space="preserve">1.0</w:t>
      </w:r>
      <w:r>
        <w:rPr>
          <w:rFonts w:ascii="Calibri" w:cs="Calibri" w:eastAsia="Calibri" w:hAnsi="Calibri"/>
          <w:color w:val="555555"/>
          <w:sz w:val="22"/>
          <w:szCs w:val="22"/>
        </w:rPr>
        <w:t xml:space="preserve">          Status:  </w:t>
      </w:r>
      <w:r>
        <w:rPr>
          <w:rFonts w:ascii="Calibri" w:cs="Calibri" w:eastAsia="Calibri" w:hAnsi="Calibri"/>
          <w:b/>
          <w:bCs/>
          <w:color w:val="212121"/>
          <w:sz w:val="22"/>
          <w:szCs w:val="22"/>
        </w:rPr>
        <w:t xml:space="preserve">Draft for Engineering Review</w:t>
      </w:r>
    </w:p>
    <w:p>
      <w:pPr>
        <w:spacing w:after="120" w:before="0"/>
      </w:pPr>
      <w:r>
        <w:rPr>
          <w:rFonts w:ascii="Calibri" w:cs="Calibri" w:eastAsia="Calibri" w:hAnsi="Calibri"/>
          <w:color w:val="555555"/>
          <w:sz w:val="22"/>
          <w:szCs w:val="22"/>
        </w:rPr>
        <w:t xml:space="preserve">Date:  </w:t>
      </w:r>
      <w:r>
        <w:rPr>
          <w:rFonts w:ascii="Calibri" w:cs="Calibri" w:eastAsia="Calibri" w:hAnsi="Calibri"/>
          <w:b/>
          <w:bCs/>
          <w:color w:val="212121"/>
          <w:sz w:val="22"/>
          <w:szCs w:val="22"/>
        </w:rPr>
        <w:t xml:space="preserve">May 2026</w:t>
      </w:r>
    </w:p>
    <w:p>
      <w:pPr>
        <w:spacing w:after="120" w:before="0"/>
      </w:pPr>
      <w:r>
        <w:rPr>
          <w:rFonts w:ascii="Calibri" w:cs="Calibri" w:eastAsia="Calibri" w:hAnsi="Calibri"/>
          <w:color w:val="555555"/>
          <w:sz w:val="22"/>
          <w:szCs w:val="22"/>
        </w:rPr>
        <w:t xml:space="preserve">Prepared by:  </w:t>
      </w:r>
      <w:r>
        <w:rPr>
          <w:rFonts w:ascii="Calibri" w:cs="Calibri" w:eastAsia="Calibri" w:hAnsi="Calibri"/>
          <w:b/>
          <w:bCs/>
          <w:color w:val="212121"/>
          <w:sz w:val="22"/>
          <w:szCs w:val="22"/>
        </w:rPr>
        <w:t xml:space="preserve">Mohammed Ali</w:t>
      </w:r>
    </w:p>
    <w:p>
      <w:pPr>
        <w:spacing w:after="120" w:before="0"/>
      </w:pPr>
      <w:r>
        <w:rPr>
          <w:rFonts w:ascii="Calibri" w:cs="Calibri" w:eastAsia="Calibri" w:hAnsi="Calibri"/>
          <w:color w:val="555555"/>
          <w:sz w:val="22"/>
          <w:szCs w:val="22"/>
        </w:rPr>
        <w:t xml:space="preserve">Classification:  </w:t>
      </w:r>
      <w:r>
        <w:rPr>
          <w:rFonts w:ascii="Calibri" w:cs="Calibri" w:eastAsia="Calibri" w:hAnsi="Calibri"/>
          <w:b/>
          <w:bCs/>
          <w:color w:val="C8102E"/>
          <w:sz w:val="22"/>
          <w:szCs w:val="22"/>
        </w:rPr>
        <w:t xml:space="preserve">Internal — Confidential</w:t>
      </w:r>
    </w:p>
    <w:p>
      <w:pPr>
        <w:spacing w:before="2000"/>
      </w:pPr>
      <w:r>
        <w:rPr>
          <w:sz w:val="1"/>
          <w:szCs w:val="1"/>
        </w:rPr>
        <w:t xml:space="preserve"/>
      </w:r>
    </w:p>
    <w:p>
      <w:pPr>
        <w:pStyle w:val="Heading1"/>
        <w:pageBreakBefore/>
        <w:spacing w:after="200" w:before="360"/>
      </w:pPr>
      <w:r>
        <w:rPr>
          <w:rFonts w:ascii="Calibri" w:cs="Calibri" w:eastAsia="Calibri" w:hAnsi="Calibri"/>
          <w:b/>
          <w:bCs/>
          <w:color w:val="C8102E"/>
          <w:sz w:val="40"/>
          <w:szCs w:val="40"/>
        </w:rPr>
        <w:t xml:space="preserve">1. Document Control</w:t>
      </w:r>
    </w:p>
    <w:p>
      <w:pPr>
        <w:pStyle w:val="Heading3"/>
        <w:spacing w:after="100" w:before="200"/>
      </w:pPr>
      <w:r>
        <w:rPr>
          <w:rFonts w:ascii="Calibri" w:cs="Calibri" w:eastAsia="Calibri" w:hAnsi="Calibri"/>
          <w:b/>
          <w:bCs/>
          <w:color w:val="C8102E"/>
          <w:sz w:val="26"/>
          <w:szCs w:val="26"/>
        </w:rP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4360"/>
        <w:gridCol w:w="1300"/>
      </w:tblGrid>
      <w:tr>
        <w:trPr>
          <w:tblHeader/>
        </w:trPr>
        <w:tc>
          <w:tcPr>
            <w:tcW w:type="dxa" w:w="9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Version</w:t>
            </w:r>
          </w:p>
        </w:tc>
        <w:tc>
          <w:tcPr>
            <w:tcW w:type="dxa" w:w="13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Date</w:t>
            </w:r>
          </w:p>
        </w:tc>
        <w:tc>
          <w:tcPr>
            <w:tcW w:type="dxa" w:w="15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Author</w:t>
            </w:r>
          </w:p>
        </w:tc>
        <w:tc>
          <w:tcPr>
            <w:tcW w:type="dxa" w:w="43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Change Summary</w:t>
            </w:r>
          </w:p>
        </w:tc>
        <w:tc>
          <w:tcPr>
            <w:tcW w:type="dxa" w:w="13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Approver</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0.1</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2026-05-10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 Ali</w:t>
            </w:r>
          </w:p>
        </w:tc>
        <w:tc>
          <w:tcPr>
            <w:tcW w:type="dxa" w:w="4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Initial outline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0.5</w:t>
            </w:r>
          </w:p>
        </w:tc>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2026-05-12</w:t>
            </w:r>
          </w:p>
        </w:tc>
        <w:tc>
          <w:tcPr>
            <w:tcW w:type="dxa" w:w="15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 Ali</w:t>
            </w:r>
          </w:p>
        </w:tc>
        <w:tc>
          <w:tcPr>
            <w:tcW w:type="dxa" w:w="4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Functional requirements drafted across 23 modules</w:t>
            </w:r>
          </w:p>
        </w:tc>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2026-05-13</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 Ali</w:t>
            </w:r>
          </w:p>
        </w:tc>
        <w:tc>
          <w:tcPr>
            <w:tcW w:type="dxa" w:w="4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Engineering-review-ready draft including Appendix A regulatory universe (36 obligations from BCC.CHNW Reg Universe)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Pending CCO</w:t>
            </w:r>
          </w:p>
        </w:tc>
      </w:tr>
    </w:tbl>
    <w:p>
      <w:pPr>
        <w:spacing w:before="200"/>
      </w:pPr>
    </w:p>
    <w:p>
      <w:pPr>
        <w:pStyle w:val="Heading3"/>
        <w:spacing w:after="100" w:before="200"/>
      </w:pPr>
      <w:r>
        <w:rPr>
          <w:rFonts w:ascii="Calibri" w:cs="Calibri" w:eastAsia="Calibri" w:hAnsi="Calibri"/>
          <w:b/>
          <w:bCs/>
          <w:color w:val="C8102E"/>
          <w:sz w:val="26"/>
          <w:szCs w:val="26"/>
        </w:rPr>
        <w:t xml:space="preserve">1.2 Distribution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Distribution</w:t>
            </w:r>
          </w:p>
        </w:tc>
        <w:tc>
          <w:tcPr>
            <w:tcW w:type="dxa" w:w="27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Role</w:t>
            </w:r>
          </w:p>
        </w:tc>
        <w:tc>
          <w:tcPr>
            <w:tcW w:type="dxa" w:w="36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Action</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Compliance Officer</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Product Owner</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Review &amp; sign-off</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MLRO / Head FCC</w:t>
            </w:r>
          </w:p>
        </w:tc>
        <w:tc>
          <w:tcPr>
            <w:tcW w:type="dxa" w:w="27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Subject-matter approver</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Review FCC modules (M06–M09)</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Protection Officer</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Subject-matter approver</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Review M12, security &amp; NDPA</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Head, Regulatory Compliance</w:t>
            </w:r>
          </w:p>
        </w:tc>
        <w:tc>
          <w:tcPr>
            <w:tcW w:type="dxa" w:w="27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Subject-matter approver</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Review M01–M03, M10</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CISO</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Security approver</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Approve NFRs and security design</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Head, Engineering</w:t>
            </w:r>
          </w:p>
        </w:tc>
        <w:tc>
          <w:tcPr>
            <w:tcW w:type="dxa" w:w="27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Build lead</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Receive as build spec</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Implementation partner</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Delivery</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Receive as scope of work input</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Internal Audit</w:t>
            </w:r>
          </w:p>
        </w:tc>
        <w:tc>
          <w:tcPr>
            <w:tcW w:type="dxa" w:w="27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Independent review</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Inform</w:t>
            </w:r>
          </w:p>
        </w:tc>
      </w:tr>
    </w:tbl>
    <w:p>
      <w:pPr>
        <w:pStyle w:val="Heading1"/>
        <w:pageBreakBefore/>
        <w:spacing w:after="200" w:before="360"/>
      </w:pPr>
      <w:r>
        <w:rPr>
          <w:rFonts w:ascii="Calibri" w:cs="Calibri" w:eastAsia="Calibri" w:hAnsi="Calibri"/>
          <w:b/>
          <w:bCs/>
          <w:color w:val="C8102E"/>
          <w:sz w:val="40"/>
          <w:szCs w:val="40"/>
        </w:rPr>
        <w:t xml:space="preserve">2. Executive Summary</w:t>
      </w:r>
    </w:p>
    <w:p>
      <w:pPr>
        <w:spacing w:after="80" w:before="80" w:line="300"/>
        <w:jc w:val="left"/>
      </w:pPr>
      <w:r>
        <w:rPr>
          <w:rFonts w:ascii="Calibri" w:cs="Calibri" w:eastAsia="Calibri" w:hAnsi="Calibri"/>
          <w:b w:val="false"/>
          <w:bCs w:val="false"/>
          <w:i w:val="false"/>
          <w:iCs w:val="false"/>
          <w:color w:val="212121"/>
          <w:sz w:val="22"/>
          <w:szCs w:val="22"/>
        </w:rPr>
        <w:t xml:space="preserve">Nigerian banks, capital market operators, insurance companies and Pension Fund Administrators operate under one of the most complex and rapidly evolving regulatory regimes in Africa. A single Tier-1 commercial bank is typically subject to over five hundred discrete statutory, regulatory and supervisory obligations issued by the Central Bank of Nigeria (CBN), Nigeria Deposit Insurance Corporation (NDIC), Nigeria Financial Intelligence Unit (NFIU), Securities and Exchange Commission (SEC), Nigerian Exchange Limited (NGX), FMDQ Securities Exchange, Nigeria Data Protection Commission (NDPC), Federal Inland Revenue Service (FIRS), Corporate Affairs Commission (CAC), Financial Reporting Council of Nigeria (FRC), National Insurance Commission (NAICOM), National Pension Commission (PenCom), Economic and Financial Crimes Commission (EFCC) and a growing list of agencies. Compliance breaches in Nigeria attract administrative penalties of N1 million to N100 million per infraction, suspension or revocation of licences under Section 12 of BOFIA 2020, and in egregious cases personal criminal liability for directors and the Chief Compliance Officer.</w:t>
      </w:r>
    </w:p>
    <w:p>
      <w:pPr>
        <w:spacing w:after="80" w:before="80" w:line="300"/>
        <w:jc w:val="left"/>
      </w:pPr>
      <w:r>
        <w:rPr>
          <w:rFonts w:ascii="Calibri" w:cs="Calibri" w:eastAsia="Calibri" w:hAnsi="Calibri"/>
          <w:b w:val="false"/>
          <w:bCs w:val="false"/>
          <w:i w:val="false"/>
          <w:iCs w:val="false"/>
          <w:color w:val="212121"/>
          <w:sz w:val="22"/>
          <w:szCs w:val="22"/>
        </w:rPr>
        <w:t xml:space="preserve">Despite this exposure, the prevailing tooling across Nigerian financial institutions remains spreadsheets, SharePoint document libraries, locally hosted GRC tools designed for US/EU markets, and several disconnected vendor solutions for AML, KYC, sanctions screening and regulatory reporting. The result is duplicated effort, evidence that cannot be produced quickly during CBN Risk-Based Supervision (RBS) examinations, late or inaccurate returns to eFASS and FinA, and material residual financial-crime risk.</w:t>
      </w:r>
    </w:p>
    <w:p>
      <w:pPr>
        <w:spacing w:after="80" w:before="80" w:line="300"/>
        <w:jc w:val="left"/>
      </w:pPr>
      <w:r>
        <w:rPr>
          <w:rFonts w:ascii="Calibri" w:cs="Calibri" w:eastAsia="Calibri" w:hAnsi="Calibri"/>
          <w:b w:val="false"/>
          <w:bCs w:val="false"/>
          <w:i w:val="false"/>
          <w:iCs w:val="false"/>
          <w:color w:val="212121"/>
          <w:sz w:val="22"/>
          <w:szCs w:val="22"/>
        </w:rPr>
        <w:t xml:space="preserve">This Business Requirements Document specifies the build of NGCOMPLY — an integrated, Nigeria-first Regulatory Compliance Management platform. The solution consolidates the regulatory library, policy management, obligations register, control testing, AML/CFT/CPF operations, suspicious-transaction and currency-transaction reporting to NFIU goAML, sanctions and PEP screening, regulatory returns automation, data-protection compliance under the Nigeria Data Protection Act (NDPA) 2023, consumer-complaint handling under the CBN Consumer Protection Regulations, vendor risk, training and attestation, whistleblowing, and a unified board and regulator-facing dashboard — into one cloud-native platform with full deployment-in-Nigeria options to satisfy CBN data-localisation guidance.</w:t>
      </w:r>
    </w:p>
    <w:p>
      <w:pPr>
        <w:spacing w:after="80" w:before="80" w:line="300"/>
        <w:jc w:val="left"/>
      </w:pPr>
      <w:r>
        <w:rPr>
          <w:rFonts w:ascii="Calibri" w:cs="Calibri" w:eastAsia="Calibri" w:hAnsi="Calibri"/>
          <w:b w:val="false"/>
          <w:bCs w:val="false"/>
          <w:i w:val="false"/>
          <w:iCs w:val="false"/>
          <w:color w:val="212121"/>
          <w:sz w:val="22"/>
          <w:szCs w:val="22"/>
        </w:rPr>
        <w:t xml:space="preserve">The platform will ingest the institution's existing regulatory universe — the seed inventory of thirty-six core obligations attached as Appendix A demonstrates the structure already maintained in the user's Business Conduct &amp; Consumer / High-Net-Worth (BCC.CHNW) Reg Universe spreadsheet — and extend it through automated change-management feeds from CBN, NDIC, NFIU, SEC, NDPC, and Federal Government Gazettes. The expected outcome, benchmarked against comparable deployments in peer markets, is a 50% reduction in regulator findings, 60-70% reduction in manual compliance effort, sub-eleven-month payback, and demonstrable, audit-ready evidence of the bank's control environment at any point in time.</w:t>
      </w:r>
    </w:p>
    <w:p>
      <w:pPr>
        <w:spacing w:after="80" w:before="80" w:line="300"/>
        <w:jc w:val="left"/>
      </w:pPr>
      <w:r>
        <w:rPr>
          <w:rFonts w:ascii="Calibri" w:cs="Calibri" w:eastAsia="Calibri" w:hAnsi="Calibri"/>
          <w:b w:val="false"/>
          <w:bCs w:val="false"/>
          <w:i w:val="false"/>
          <w:iCs w:val="false"/>
          <w:color w:val="212121"/>
          <w:sz w:val="22"/>
          <w:szCs w:val="22"/>
        </w:rPr>
        <w:t xml:space="preserve">This BRD is written for the engineering team and the implementation partner. It defines functional requirements at the module level, non-functional requirements, integration points with the Nigerian financial-market infrastructure (NIBSS, NIMC, CAC, SWIFT, RTGS, NIP, goAML, eFASS, FinA, SCUML), the data model, role-based access controls, acceptance criteria, deployment topology and a phased delivery roadmap.</w:t>
      </w:r>
    </w:p>
    <w:p>
      <w:pPr>
        <w:pStyle w:val="Heading1"/>
        <w:pageBreakBefore/>
        <w:spacing w:after="200" w:before="360"/>
      </w:pPr>
      <w:r>
        <w:rPr>
          <w:rFonts w:ascii="Calibri" w:cs="Calibri" w:eastAsia="Calibri" w:hAnsi="Calibri"/>
          <w:b/>
          <w:bCs/>
          <w:color w:val="C8102E"/>
          <w:sz w:val="40"/>
          <w:szCs w:val="40"/>
        </w:rPr>
        <w:t xml:space="preserve">3. Problem Statement</w:t>
      </w:r>
    </w:p>
    <w:p>
      <w:pPr>
        <w:pStyle w:val="Heading3"/>
        <w:spacing w:after="100" w:before="200"/>
      </w:pPr>
      <w:r>
        <w:rPr>
          <w:rFonts w:ascii="Calibri" w:cs="Calibri" w:eastAsia="Calibri" w:hAnsi="Calibri"/>
          <w:b/>
          <w:bCs/>
          <w:color w:val="C8102E"/>
          <w:sz w:val="26"/>
          <w:szCs w:val="26"/>
        </w:rPr>
        <w:t xml:space="preserve">Regulatory volume and velocity</w:t>
      </w:r>
    </w:p>
    <w:p>
      <w:pPr>
        <w:spacing w:after="80" w:before="80" w:line="300"/>
        <w:jc w:val="left"/>
      </w:pPr>
      <w:r>
        <w:rPr>
          <w:rFonts w:ascii="Calibri" w:cs="Calibri" w:eastAsia="Calibri" w:hAnsi="Calibri"/>
          <w:b w:val="false"/>
          <w:bCs w:val="false"/>
          <w:i w:val="false"/>
          <w:iCs w:val="false"/>
          <w:color w:val="212121"/>
          <w:sz w:val="22"/>
          <w:szCs w:val="22"/>
        </w:rPr>
        <w:t xml:space="preserve">A typical Nigerian bank tracks 350-600 active obligations. CBN alone issues 80-150 circulars per year across Banking Supervision, Financial Policy and Regulation, Payments System Management, Consumer Protection, Currency Operations, and Other Financial Institutions Supervision departments. NDIC, SEC, NFIU, NDPC, FIRS and PenCom add further instruments. The half-life of a CBN circular before it is amended, supplemented or superseded is now under eighteen months.</w:t>
      </w:r>
    </w:p>
    <w:p>
      <w:pPr>
        <w:pStyle w:val="Heading3"/>
        <w:spacing w:after="100" w:before="200"/>
      </w:pPr>
      <w:r>
        <w:rPr>
          <w:rFonts w:ascii="Calibri" w:cs="Calibri" w:eastAsia="Calibri" w:hAnsi="Calibri"/>
          <w:b/>
          <w:bCs/>
          <w:color w:val="C8102E"/>
          <w:sz w:val="26"/>
          <w:szCs w:val="26"/>
        </w:rPr>
        <w:t xml:space="preserve">Fragmented evidence base</w:t>
      </w:r>
    </w:p>
    <w:p>
      <w:pPr>
        <w:spacing w:after="80" w:before="80" w:line="300"/>
        <w:jc w:val="left"/>
      </w:pPr>
      <w:r>
        <w:rPr>
          <w:rFonts w:ascii="Calibri" w:cs="Calibri" w:eastAsia="Calibri" w:hAnsi="Calibri"/>
          <w:b w:val="false"/>
          <w:bCs w:val="false"/>
          <w:i w:val="false"/>
          <w:iCs w:val="false"/>
          <w:color w:val="212121"/>
          <w:sz w:val="22"/>
          <w:szCs w:val="22"/>
        </w:rPr>
        <w:t xml:space="preserve">Policies sit in SharePoint, controls testing in Excel, AML alerts in a separate AML engine (Actimize, Oracle FCCM, SAS or in-house), sanctions screening in another tool (Accuity, Dow Jones, LexisNexis Bridger), returns generation in standalone Excel templates, and complaints in the Customer Experience system. Mapping a single CBN obligation to a policy to a control to a tested outcome to evidence requires manual reconciliation across at least four systems.</w:t>
      </w:r>
    </w:p>
    <w:p>
      <w:pPr>
        <w:pStyle w:val="Heading3"/>
        <w:spacing w:after="100" w:before="200"/>
      </w:pPr>
      <w:r>
        <w:rPr>
          <w:rFonts w:ascii="Calibri" w:cs="Calibri" w:eastAsia="Calibri" w:hAnsi="Calibri"/>
          <w:b/>
          <w:bCs/>
          <w:color w:val="C8102E"/>
          <w:sz w:val="26"/>
          <w:szCs w:val="26"/>
        </w:rPr>
        <w:t xml:space="preserve">Regulator-facing readiness gap</w:t>
      </w:r>
    </w:p>
    <w:p>
      <w:pPr>
        <w:spacing w:after="80" w:before="80" w:line="300"/>
        <w:jc w:val="left"/>
      </w:pPr>
      <w:r>
        <w:rPr>
          <w:rFonts w:ascii="Calibri" w:cs="Calibri" w:eastAsia="Calibri" w:hAnsi="Calibri"/>
          <w:b w:val="false"/>
          <w:bCs w:val="false"/>
          <w:i w:val="false"/>
          <w:iCs w:val="false"/>
          <w:color w:val="212121"/>
          <w:sz w:val="22"/>
          <w:szCs w:val="22"/>
        </w:rPr>
        <w:t xml:space="preserve">When CBN Banking Supervision opens an RBS examination, NDIC conducts a target examination, NFIU issues an information request, or NDPC commences a compliance audit under Section 47 of the NDPA, the bank is typically given between 24 hours and 10 working days to produce evidence. Current tooling rarely supports this turnaround.</w:t>
      </w:r>
    </w:p>
    <w:p>
      <w:pPr>
        <w:pStyle w:val="Heading3"/>
        <w:spacing w:after="100" w:before="200"/>
      </w:pPr>
      <w:r>
        <w:rPr>
          <w:rFonts w:ascii="Calibri" w:cs="Calibri" w:eastAsia="Calibri" w:hAnsi="Calibri"/>
          <w:b/>
          <w:bCs/>
          <w:color w:val="C8102E"/>
          <w:sz w:val="26"/>
          <w:szCs w:val="26"/>
        </w:rPr>
        <w:t xml:space="preserve">Penalty exposure is escalating</w:t>
      </w:r>
    </w:p>
    <w:p>
      <w:pPr>
        <w:spacing w:after="80" w:before="80" w:line="300"/>
        <w:jc w:val="left"/>
      </w:pPr>
      <w:r>
        <w:rPr>
          <w:rFonts w:ascii="Calibri" w:cs="Calibri" w:eastAsia="Calibri" w:hAnsi="Calibri"/>
          <w:b w:val="false"/>
          <w:bCs w:val="false"/>
          <w:i w:val="false"/>
          <w:iCs w:val="false"/>
          <w:color w:val="212121"/>
          <w:sz w:val="22"/>
          <w:szCs w:val="22"/>
        </w:rPr>
        <w:t xml:space="preserve">Recent CBN administrative penalties have ranged from N2m per branch for FX-related infractions to N1bn-N2bn aggregate fines for KYC, AML and consumer-protection lapses at Tier-1 banks. The CBN AML/CFT (Administrative Sanctions) Regulations 2018, as amended, and the Money Laundering (Prevention and Prohibition) Act 2022 prescribe both institutional and personal penalties. The NDPA 2023 introduces administrative fines up to N10m or 2% of annual gross revenue, whichever is higher, for data-protection breaches.</w:t>
      </w:r>
    </w:p>
    <w:p>
      <w:pPr>
        <w:pStyle w:val="Heading3"/>
        <w:spacing w:after="100" w:before="200"/>
      </w:pPr>
      <w:r>
        <w:rPr>
          <w:rFonts w:ascii="Calibri" w:cs="Calibri" w:eastAsia="Calibri" w:hAnsi="Calibri"/>
          <w:b/>
          <w:bCs/>
          <w:color w:val="C8102E"/>
          <w:sz w:val="26"/>
          <w:szCs w:val="26"/>
        </w:rPr>
        <w:t xml:space="preserve">Cost of compliance is rising faster than revenue</w:t>
      </w:r>
    </w:p>
    <w:p>
      <w:pPr>
        <w:spacing w:after="80" w:before="80" w:line="300"/>
        <w:jc w:val="left"/>
      </w:pPr>
      <w:r>
        <w:rPr>
          <w:rFonts w:ascii="Calibri" w:cs="Calibri" w:eastAsia="Calibri" w:hAnsi="Calibri"/>
          <w:b w:val="false"/>
          <w:bCs w:val="false"/>
          <w:i w:val="false"/>
          <w:iCs w:val="false"/>
          <w:color w:val="212121"/>
          <w:sz w:val="22"/>
          <w:szCs w:val="22"/>
        </w:rPr>
        <w:t xml:space="preserve">Industry surveys put the average Nigerian Tier-1 bank's compliance headcount at 80-150 staff with annual run-cost of N4-7bn excluding technology. Without automation, this scales linearly with the obligations register. The business case for NGCOMPLY rests on holding compliance run-cost flat while the obligations register grows.</w:t>
      </w:r>
    </w:p>
    <w:p>
      <w:pPr>
        <w:pStyle w:val="Heading1"/>
        <w:pageBreakBefore/>
        <w:spacing w:after="200" w:before="360"/>
      </w:pPr>
      <w:r>
        <w:rPr>
          <w:rFonts w:ascii="Calibri" w:cs="Calibri" w:eastAsia="Calibri" w:hAnsi="Calibri"/>
          <w:b/>
          <w:bCs/>
          <w:color w:val="C8102E"/>
          <w:sz w:val="40"/>
          <w:szCs w:val="40"/>
        </w:rPr>
        <w:t xml:space="preserve">4. Vision, Goals &amp; Success Criteria</w:t>
      </w:r>
    </w:p>
    <w:p>
      <w:pPr>
        <w:pStyle w:val="Heading3"/>
        <w:spacing w:after="100" w:before="200"/>
      </w:pPr>
      <w:r>
        <w:rPr>
          <w:rFonts w:ascii="Calibri" w:cs="Calibri" w:eastAsia="Calibri" w:hAnsi="Calibri"/>
          <w:b/>
          <w:bCs/>
          <w:color w:val="C8102E"/>
          <w:sz w:val="26"/>
          <w:szCs w:val="26"/>
        </w:rPr>
        <w:t xml:space="preserve">4.1 Vision</w:t>
      </w:r>
    </w:p>
    <w:p>
      <w:pPr>
        <w:spacing w:after="80" w:before="80" w:line="300"/>
        <w:jc w:val="left"/>
      </w:pPr>
      <w:r>
        <w:rPr>
          <w:rFonts w:ascii="Calibri" w:cs="Calibri" w:eastAsia="Calibri" w:hAnsi="Calibri"/>
          <w:b w:val="false"/>
          <w:bCs w:val="false"/>
          <w:i w:val="false"/>
          <w:iCs w:val="false"/>
          <w:color w:val="212121"/>
          <w:sz w:val="22"/>
          <w:szCs w:val="22"/>
        </w:rPr>
        <w:t xml:space="preserve">To deliver a single, Nigeria-resident platform that converts every CBN, NDIC, NFIU, SEC, NDPC, FIRS, NAICOM and PenCom obligation into a tracked control, a tested outcome and demonstrable evidence — so that the institution is audit-ready on any given day, the Chief Compliance Officer can answer any regulator question within one working day, and the Board receives one consolidated view of compliance posture.</w:t>
      </w:r>
    </w:p>
    <w:p>
      <w:pPr>
        <w:pStyle w:val="Heading3"/>
        <w:spacing w:after="100" w:before="200"/>
      </w:pPr>
      <w:r>
        <w:rPr>
          <w:rFonts w:ascii="Calibri" w:cs="Calibri" w:eastAsia="Calibri" w:hAnsi="Calibri"/>
          <w:b/>
          <w:bCs/>
          <w:color w:val="C8102E"/>
          <w:sz w:val="26"/>
          <w:szCs w:val="26"/>
        </w:rPr>
        <w:t xml:space="preserve">4.2 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ID</w:t>
            </w:r>
          </w:p>
        </w:tc>
        <w:tc>
          <w:tcPr>
            <w:tcW w:type="dxa" w:w="85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Goal</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G1</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Consolidate the institution's full regulatory universe (statutes, regulations, guidelines, circulars, frameworks, codes, and prudential standards) into a single, version-controlled library with automated horizon-scanning feeds from CBN, NDIC, NFIU, SEC, NDPC and the Federal Government Gazette.</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G2</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Map every obligation to a policy, a control, a control owner, a testing schedule, and an evidence repository.</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G3</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Automate ≥80% of regulatory returns to CBN (eFASS, FinA, RBS), NDIC, NFIU (goAML), SEC (e-portal), NDPC (NDPC reporting portal), FIRS (TaxPro Max) and PenCom (RBS portal).</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G4</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Automate sanctions, PEP and adverse-media screening against UN, OFAC, EU, HMT, NSC Nigeria Sanctions Committee consolidated list, and a local PEP list curated to include serving and former Nigerian public officers, INEC-registered political party officials, and politically exposed associates.</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G5</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Deliver real-time AML transaction monitoring with rule engines calibrated to Nigerian typologies: PEP-linked transfers, structuring around the N5m CTR threshold, BDC patterns, FX round-tripping, terrorism-financing red flags from NFIU strategic analysis.</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G6</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Produce evidence packs on demand for CBN, NDIC, NFIU, NDPC, SEC and external auditors within one working day.</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G7</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Reduce regulatory findings by 50% within 18 months of go-live; reduce manual compliance hours by 60% within 12 months.</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G8</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Comply with NDPA 2023 and NITDA's Nigeria Data Protection Regulation (NDPR) Implementation Framework for the platform itself, with hosting in Nigeria where required by sector data-localisation rules.</w:t>
            </w:r>
          </w:p>
        </w:tc>
      </w:tr>
    </w:tbl>
    <w:p>
      <w:pPr>
        <w:spacing w:before="200"/>
      </w:pPr>
    </w:p>
    <w:p>
      <w:pPr>
        <w:pStyle w:val="Heading3"/>
        <w:spacing w:after="100" w:before="200"/>
      </w:pPr>
      <w:r>
        <w:rPr>
          <w:rFonts w:ascii="Calibri" w:cs="Calibri" w:eastAsia="Calibri" w:hAnsi="Calibri"/>
          <w:b/>
          <w:bCs/>
          <w:color w:val="C8102E"/>
          <w:sz w:val="26"/>
          <w:szCs w:val="26"/>
        </w:rPr>
        <w:t xml:space="preserve">4.3 Success Criteria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ID</w:t>
            </w:r>
          </w:p>
        </w:tc>
        <w:tc>
          <w:tcPr>
            <w:tcW w:type="dxa" w:w="85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Measure</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S1</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100% of CBN circulars issued in the prior 90 days are present in the regulatory library with mapping status (mapped / pending / not applicable).</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S2</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≥95% of obligations are mapped to at least one policy, one control, and one control owner.</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S3</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≥90% of controls are tested on schedule; overdue controls auto-escalate to the Chief Compliance Officer.</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S4</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Sanctions screening latency ≤500ms at the 95th percentile for real-time payment screening.</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S5</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Transaction monitoring false-positive rate ≤30% (industry benchmark in Nigeria is 60-85%).</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S6</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STR submission to NFIU via goAML XML succeeds on first attempt ≥98% of the time.</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S7</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Mean time to produce a regulator evidence pack ≤4 hours from request to release.</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S8</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Platform availability ≥99.9% during business hours; ≥99.5% 24/7.</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S9</w:t>
            </w:r>
          </w:p>
        </w:tc>
        <w:tc>
          <w:tcPr>
            <w:tcW w:type="dxa" w:w="8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Zero high or critical findings in the annual CBN cybersecurity assessment of the platform.</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S10</w:t>
            </w:r>
          </w:p>
        </w:tc>
        <w:tc>
          <w:tcPr>
            <w:tcW w:type="dxa" w:w="8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User satisfaction (Compliance, Risk, Internal Audit) ≥4.2/5 within six months of go-live.</w:t>
            </w:r>
          </w:p>
        </w:tc>
      </w:tr>
    </w:tbl>
    <w:p>
      <w:pPr>
        <w:pStyle w:val="Heading1"/>
        <w:pageBreakBefore/>
        <w:spacing w:after="200" w:before="360"/>
      </w:pPr>
      <w:r>
        <w:rPr>
          <w:rFonts w:ascii="Calibri" w:cs="Calibri" w:eastAsia="Calibri" w:hAnsi="Calibri"/>
          <w:b/>
          <w:bCs/>
          <w:color w:val="C8102E"/>
          <w:sz w:val="40"/>
          <w:szCs w:val="40"/>
        </w:rPr>
        <w:t xml:space="preserve">5. Stakeholders &amp; User Personas</w:t>
      </w:r>
    </w:p>
    <w:p>
      <w:pPr>
        <w:pStyle w:val="Heading3"/>
        <w:spacing w:after="100" w:before="200"/>
      </w:pPr>
      <w:r>
        <w:rPr>
          <w:rFonts w:ascii="Calibri" w:cs="Calibri" w:eastAsia="Calibri" w:hAnsi="Calibri"/>
          <w:b/>
          <w:bCs/>
          <w:color w:val="C8102E"/>
          <w:sz w:val="26"/>
          <w:szCs w:val="26"/>
        </w:rPr>
        <w:t xml:space="preserve">5.1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Stakeholder</w:t>
            </w:r>
          </w:p>
        </w:tc>
        <w:tc>
          <w:tcPr>
            <w:tcW w:type="dxa" w:w="30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Role</w:t>
            </w:r>
          </w:p>
        </w:tc>
        <w:tc>
          <w:tcPr>
            <w:tcW w:type="dxa" w:w="39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Responsibility</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Sponsor</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Executive Director, Risk Management / Chief Risk Officer</w:t>
            </w:r>
          </w:p>
        </w:tc>
        <w:tc>
          <w:tcPr>
            <w:tcW w:type="dxa" w:w="3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Owns business case, funding, board reporting.</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Product Owner</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Compliance Officer (CCO)</w:t>
            </w:r>
          </w:p>
        </w:tc>
        <w:tc>
          <w:tcPr>
            <w:tcW w:type="dxa" w:w="3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Defines functional priorities, signs off on regulatory accuracy.</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MLRO</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Money Laundering Reporting Officer / Head, Financial Crime Compliance</w:t>
            </w:r>
          </w:p>
        </w:tc>
        <w:tc>
          <w:tcPr>
            <w:tcW w:type="dxa" w:w="3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Owns AML, sanctions, STR/CTR, NFIU liaison.</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DPO</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Protection Officer</w:t>
            </w:r>
          </w:p>
        </w:tc>
        <w:tc>
          <w:tcPr>
            <w:tcW w:type="dxa" w:w="3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Owns NDPA compliance, DPIA, breach notification.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Head, Regulatory Compliance</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Reports to CCO</w:t>
            </w:r>
          </w:p>
        </w:tc>
        <w:tc>
          <w:tcPr>
            <w:tcW w:type="dxa" w:w="3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Owns regulatory library, returns, CBN/NDIC/SEC liaison.</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Head, Consumer Protection</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Reports to CCO</w:t>
            </w:r>
          </w:p>
        </w:tc>
        <w:tc>
          <w:tcPr>
            <w:tcW w:type="dxa" w:w="3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Owns CBN Consumer Protection Regulations, complaints, redress.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Internal Auditor</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Reports to Board Audit Committee</w:t>
            </w:r>
          </w:p>
        </w:tc>
        <w:tc>
          <w:tcPr>
            <w:tcW w:type="dxa" w:w="3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Independent assurance, control testing oversight.</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CISO</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Information Security Officer</w:t>
            </w:r>
          </w:p>
        </w:tc>
        <w:tc>
          <w:tcPr>
            <w:tcW w:type="dxa" w:w="3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Owns platform cyber controls, CBN Cybersecurity Framework compliance.</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Head, Internal Control</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Operational risk</w:t>
            </w:r>
          </w:p>
        </w:tc>
        <w:tc>
          <w:tcPr>
            <w:tcW w:type="dxa" w:w="3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Owns RCSA, control library.</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Compliance Officer (line of business)</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1st-line compliance in Retail, Corporate, Treasury, Digital, etc.</w:t>
            </w:r>
          </w:p>
        </w:tc>
        <w:tc>
          <w:tcPr>
            <w:tcW w:type="dxa" w:w="3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Executes controls, completes attestations.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Branch Compliance Officer</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1st-line, branch network</w:t>
            </w:r>
          </w:p>
        </w:tc>
        <w:tc>
          <w:tcPr>
            <w:tcW w:type="dxa" w:w="3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BVN/NIN verification, CDD, branch-level STR drafting.</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IT &amp; Engineering</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Application owner post go-live</w:t>
            </w:r>
          </w:p>
        </w:tc>
        <w:tc>
          <w:tcPr>
            <w:tcW w:type="dxa" w:w="3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Operations, integrations, support.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Vendor / Implementation partner</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Selected systems integrator</w:t>
            </w:r>
          </w:p>
        </w:tc>
        <w:tc>
          <w:tcPr>
            <w:tcW w:type="dxa" w:w="3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Build, configure, deploy.</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External regulator users</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 NDIC, NFIU, SEC, NDPC examiners</w:t>
            </w:r>
          </w:p>
        </w:tc>
        <w:tc>
          <w:tcPr>
            <w:tcW w:type="dxa" w:w="3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Read-only regulator portal (optional Phase 2).</w:t>
            </w:r>
          </w:p>
        </w:tc>
      </w:tr>
    </w:tbl>
    <w:p>
      <w:pPr>
        <w:spacing w:before="240"/>
      </w:pPr>
    </w:p>
    <w:p>
      <w:pPr>
        <w:pStyle w:val="Heading3"/>
        <w:spacing w:after="100" w:before="200"/>
      </w:pPr>
      <w:r>
        <w:rPr>
          <w:rFonts w:ascii="Calibri" w:cs="Calibri" w:eastAsia="Calibri" w:hAnsi="Calibri"/>
          <w:b/>
          <w:bCs/>
          <w:color w:val="C8102E"/>
          <w:sz w:val="26"/>
          <w:szCs w:val="26"/>
        </w:rPr>
        <w:t xml:space="preserve">5.2 Primary User Personas</w:t>
      </w:r>
    </w:p>
    <w:p>
      <w:pPr>
        <w:spacing w:after="80" w:before="160"/>
      </w:pPr>
      <w:r>
        <w:rPr>
          <w:rFonts w:ascii="Calibri" w:cs="Calibri" w:eastAsia="Calibri" w:hAnsi="Calibri"/>
          <w:b/>
          <w:bCs/>
          <w:color w:val="333333"/>
          <w:sz w:val="22"/>
          <w:szCs w:val="22"/>
        </w:rPr>
        <w:t xml:space="preserve">Adaeze – Chief Compliance Officer</w:t>
      </w:r>
    </w:p>
    <w:p>
      <w:pPr>
        <w:spacing w:after="80" w:before="80" w:line="300"/>
        <w:jc w:val="left"/>
      </w:pPr>
      <w:r>
        <w:rPr>
          <w:rFonts w:ascii="Calibri" w:cs="Calibri" w:eastAsia="Calibri" w:hAnsi="Calibri"/>
          <w:b w:val="false"/>
          <w:bCs w:val="false"/>
          <w:i w:val="false"/>
          <w:iCs w:val="false"/>
          <w:color w:val="212121"/>
          <w:sz w:val="22"/>
          <w:szCs w:val="22"/>
        </w:rPr>
        <w:t xml:space="preserve">Profile: Reports to the MD/CEO and to the Board Risk Committee. Career compliance professional, ACAMS certified, 18 years experience.</w:t>
      </w:r>
    </w:p>
    <w:p>
      <w:pPr>
        <w:spacing w:after="80" w:before="80" w:line="300"/>
        <w:jc w:val="left"/>
      </w:pPr>
      <w:r>
        <w:rPr>
          <w:rFonts w:ascii="Calibri" w:cs="Calibri" w:eastAsia="Calibri" w:hAnsi="Calibri"/>
          <w:b w:val="false"/>
          <w:bCs w:val="false"/>
          <w:i w:val="false"/>
          <w:iCs w:val="false"/>
          <w:color w:val="212121"/>
          <w:sz w:val="22"/>
          <w:szCs w:val="22"/>
        </w:rPr>
        <w:t xml:space="preserve">Needs: Single-pane-of-glass dashboard showing live obligations status, open regulator queries, control failures by line of business, AML alert backlog, and overdue policy attestations. Wants to answer 'are we compliant?' in two clicks.</w:t>
      </w:r>
    </w:p>
    <w:p>
      <w:pPr>
        <w:spacing w:after="80" w:before="80" w:line="300"/>
        <w:jc w:val="left"/>
      </w:pPr>
      <w:r>
        <w:rPr>
          <w:rFonts w:ascii="Calibri" w:cs="Calibri" w:eastAsia="Calibri" w:hAnsi="Calibri"/>
          <w:b w:val="false"/>
          <w:bCs w:val="false"/>
          <w:i w:val="false"/>
          <w:iCs w:val="false"/>
          <w:color w:val="212121"/>
          <w:sz w:val="22"/>
          <w:szCs w:val="22"/>
        </w:rPr>
        <w:t xml:space="preserve">Pain: Currently consolidates a monthly board pack from seven spreadsheets and three vendor systems. The pack is always two weeks out of date.</w:t>
      </w:r>
    </w:p>
    <w:p>
      <w:pPr>
        <w:spacing w:after="80" w:before="80" w:line="300"/>
        <w:jc w:val="left"/>
      </w:pPr>
      <w:r>
        <w:rPr>
          <w:rFonts w:ascii="Calibri" w:cs="Calibri" w:eastAsia="Calibri" w:hAnsi="Calibri"/>
          <w:b w:val="false"/>
          <w:bCs w:val="false"/>
          <w:i w:val="false"/>
          <w:iCs w:val="false"/>
          <w:color w:val="212121"/>
          <w:sz w:val="22"/>
          <w:szCs w:val="22"/>
        </w:rPr>
        <w:t xml:space="preserve">Primary actions: Approve policies; sign off on returns; review AML escalations; respond to regulator letters.</w:t>
      </w:r>
    </w:p>
    <w:p>
      <w:pPr>
        <w:spacing w:after="80" w:before="160"/>
      </w:pPr>
      <w:r>
        <w:rPr>
          <w:rFonts w:ascii="Calibri" w:cs="Calibri" w:eastAsia="Calibri" w:hAnsi="Calibri"/>
          <w:b/>
          <w:bCs/>
          <w:color w:val="333333"/>
          <w:sz w:val="22"/>
          <w:szCs w:val="22"/>
        </w:rPr>
        <w:t xml:space="preserve">Ibrahim – MLRO / Head, Financial Crime Compliance</w:t>
      </w:r>
    </w:p>
    <w:p>
      <w:pPr>
        <w:spacing w:after="80" w:before="80" w:line="300"/>
        <w:jc w:val="left"/>
      </w:pPr>
      <w:r>
        <w:rPr>
          <w:rFonts w:ascii="Calibri" w:cs="Calibri" w:eastAsia="Calibri" w:hAnsi="Calibri"/>
          <w:b w:val="false"/>
          <w:bCs w:val="false"/>
          <w:i w:val="false"/>
          <w:iCs w:val="false"/>
          <w:color w:val="212121"/>
          <w:sz w:val="22"/>
          <w:szCs w:val="22"/>
        </w:rPr>
        <w:t xml:space="preserve">Profile: Reports to CCO. Liaison to NFIU, EFCC, ICPC. Holds CAMS and CFE.</w:t>
      </w:r>
    </w:p>
    <w:p>
      <w:pPr>
        <w:spacing w:after="80" w:before="80" w:line="300"/>
        <w:jc w:val="left"/>
      </w:pPr>
      <w:r>
        <w:rPr>
          <w:rFonts w:ascii="Calibri" w:cs="Calibri" w:eastAsia="Calibri" w:hAnsi="Calibri"/>
          <w:b w:val="false"/>
          <w:bCs w:val="false"/>
          <w:i w:val="false"/>
          <w:iCs w:val="false"/>
          <w:color w:val="212121"/>
          <w:sz w:val="22"/>
          <w:szCs w:val="22"/>
        </w:rPr>
        <w:t xml:space="preserve">Needs: Live AML alert queue with case management; sanctions hit workbench; STR/CTR drafting and goAML XML export; PEP investigation workbench; periodic risk reviews of high-risk customers.</w:t>
      </w:r>
    </w:p>
    <w:p>
      <w:pPr>
        <w:spacing w:after="80" w:before="80" w:line="300"/>
        <w:jc w:val="left"/>
      </w:pPr>
      <w:r>
        <w:rPr>
          <w:rFonts w:ascii="Calibri" w:cs="Calibri" w:eastAsia="Calibri" w:hAnsi="Calibri"/>
          <w:b w:val="false"/>
          <w:bCs w:val="false"/>
          <w:i w:val="false"/>
          <w:iCs w:val="false"/>
          <w:color w:val="212121"/>
          <w:sz w:val="22"/>
          <w:szCs w:val="22"/>
        </w:rPr>
        <w:t xml:space="preserve">Pain: AML engine alerts are not joined to KYC data; STR drafting in Word; goAML uploads fail silently; difficult to evidence why an alert was closed.</w:t>
      </w:r>
    </w:p>
    <w:p>
      <w:pPr>
        <w:spacing w:after="80" w:before="80" w:line="300"/>
        <w:jc w:val="left"/>
      </w:pPr>
      <w:r>
        <w:rPr>
          <w:rFonts w:ascii="Calibri" w:cs="Calibri" w:eastAsia="Calibri" w:hAnsi="Calibri"/>
          <w:b w:val="false"/>
          <w:bCs w:val="false"/>
          <w:i w:val="false"/>
          <w:iCs w:val="false"/>
          <w:color w:val="212121"/>
          <w:sz w:val="22"/>
          <w:szCs w:val="22"/>
        </w:rPr>
        <w:t xml:space="preserve">Primary actions: Triage alerts; approve STRs; review EDD packs; chair Financial Crime Committee.</w:t>
      </w:r>
    </w:p>
    <w:p>
      <w:pPr>
        <w:spacing w:after="80" w:before="160"/>
      </w:pPr>
      <w:r>
        <w:rPr>
          <w:rFonts w:ascii="Calibri" w:cs="Calibri" w:eastAsia="Calibri" w:hAnsi="Calibri"/>
          <w:b/>
          <w:bCs/>
          <w:color w:val="333333"/>
          <w:sz w:val="22"/>
          <w:szCs w:val="22"/>
        </w:rPr>
        <w:t xml:space="preserve">Ngozi – Data Protection Officer (DPO)</w:t>
      </w:r>
    </w:p>
    <w:p>
      <w:pPr>
        <w:spacing w:after="80" w:before="80" w:line="300"/>
        <w:jc w:val="left"/>
      </w:pPr>
      <w:r>
        <w:rPr>
          <w:rFonts w:ascii="Calibri" w:cs="Calibri" w:eastAsia="Calibri" w:hAnsi="Calibri"/>
          <w:b w:val="false"/>
          <w:bCs w:val="false"/>
          <w:i w:val="false"/>
          <w:iCs w:val="false"/>
          <w:color w:val="212121"/>
          <w:sz w:val="22"/>
          <w:szCs w:val="22"/>
        </w:rPr>
        <w:t xml:space="preserve">Profile: Reports to CCO (or Legal). Registered with NDPC. Holds CIPP/E or CIPM.</w:t>
      </w:r>
    </w:p>
    <w:p>
      <w:pPr>
        <w:spacing w:after="80" w:before="80" w:line="300"/>
        <w:jc w:val="left"/>
      </w:pPr>
      <w:r>
        <w:rPr>
          <w:rFonts w:ascii="Calibri" w:cs="Calibri" w:eastAsia="Calibri" w:hAnsi="Calibri"/>
          <w:b w:val="false"/>
          <w:bCs w:val="false"/>
          <w:i w:val="false"/>
          <w:iCs w:val="false"/>
          <w:color w:val="212121"/>
          <w:sz w:val="22"/>
          <w:szCs w:val="22"/>
        </w:rPr>
        <w:t xml:space="preserve">Needs: Records of processing activity (RoPA), DPIA workflow, data subject rights request tracking (access, rectification, erasure, portability), breach register with 72-hour notification timer to NDPC, vendor data-protection schedule tracker.</w:t>
      </w:r>
    </w:p>
    <w:p>
      <w:pPr>
        <w:spacing w:after="80" w:before="80" w:line="300"/>
        <w:jc w:val="left"/>
      </w:pPr>
      <w:r>
        <w:rPr>
          <w:rFonts w:ascii="Calibri" w:cs="Calibri" w:eastAsia="Calibri" w:hAnsi="Calibri"/>
          <w:b w:val="false"/>
          <w:bCs w:val="false"/>
          <w:i w:val="false"/>
          <w:iCs w:val="false"/>
          <w:color w:val="212121"/>
          <w:sz w:val="22"/>
          <w:szCs w:val="22"/>
        </w:rPr>
        <w:t xml:space="preserve">Pain: NDPA is new and rules are still being interpreted; no system maintains RoPA; DPIA is in Word; breach notifications are emails.</w:t>
      </w:r>
    </w:p>
    <w:p>
      <w:pPr>
        <w:spacing w:after="80" w:before="80" w:line="300"/>
        <w:jc w:val="left"/>
      </w:pPr>
      <w:r>
        <w:rPr>
          <w:rFonts w:ascii="Calibri" w:cs="Calibri" w:eastAsia="Calibri" w:hAnsi="Calibri"/>
          <w:b w:val="false"/>
          <w:bCs w:val="false"/>
          <w:i w:val="false"/>
          <w:iCs w:val="false"/>
          <w:color w:val="212121"/>
          <w:sz w:val="22"/>
          <w:szCs w:val="22"/>
        </w:rPr>
        <w:t xml:space="preserve">Primary actions: Approve DPIAs; manage data-subject requests; report breaches to NDPC.</w:t>
      </w:r>
    </w:p>
    <w:p>
      <w:pPr>
        <w:spacing w:after="80" w:before="160"/>
      </w:pPr>
      <w:r>
        <w:rPr>
          <w:rFonts w:ascii="Calibri" w:cs="Calibri" w:eastAsia="Calibri" w:hAnsi="Calibri"/>
          <w:b/>
          <w:bCs/>
          <w:color w:val="333333"/>
          <w:sz w:val="22"/>
          <w:szCs w:val="22"/>
        </w:rPr>
        <w:t xml:space="preserve">Tunde – Compliance Officer, Retail Banking</w:t>
      </w:r>
    </w:p>
    <w:p>
      <w:pPr>
        <w:spacing w:after="80" w:before="80" w:line="300"/>
        <w:jc w:val="left"/>
      </w:pPr>
      <w:r>
        <w:rPr>
          <w:rFonts w:ascii="Calibri" w:cs="Calibri" w:eastAsia="Calibri" w:hAnsi="Calibri"/>
          <w:b w:val="false"/>
          <w:bCs w:val="false"/>
          <w:i w:val="false"/>
          <w:iCs w:val="false"/>
          <w:color w:val="212121"/>
          <w:sz w:val="22"/>
          <w:szCs w:val="22"/>
        </w:rPr>
        <w:t xml:space="preserve">Profile: Reports functionally to CCO, administratively to ED Retail.</w:t>
      </w:r>
    </w:p>
    <w:p>
      <w:pPr>
        <w:spacing w:after="80" w:before="80" w:line="300"/>
        <w:jc w:val="left"/>
      </w:pPr>
      <w:r>
        <w:rPr>
          <w:rFonts w:ascii="Calibri" w:cs="Calibri" w:eastAsia="Calibri" w:hAnsi="Calibri"/>
          <w:b w:val="false"/>
          <w:bCs w:val="false"/>
          <w:i w:val="false"/>
          <w:iCs w:val="false"/>
          <w:color w:val="212121"/>
          <w:sz w:val="22"/>
          <w:szCs w:val="22"/>
        </w:rPr>
        <w:t xml:space="preserve">Needs: Daily checklist of controls, attestation forms, exceptions to log, training to complete.</w:t>
      </w:r>
    </w:p>
    <w:p>
      <w:pPr>
        <w:spacing w:after="80" w:before="80" w:line="300"/>
        <w:jc w:val="left"/>
      </w:pPr>
      <w:r>
        <w:rPr>
          <w:rFonts w:ascii="Calibri" w:cs="Calibri" w:eastAsia="Calibri" w:hAnsi="Calibri"/>
          <w:b w:val="false"/>
          <w:bCs w:val="false"/>
          <w:i w:val="false"/>
          <w:iCs w:val="false"/>
          <w:color w:val="212121"/>
          <w:sz w:val="22"/>
          <w:szCs w:val="22"/>
        </w:rPr>
        <w:t xml:space="preserve">Pain: Receives compliance requests by email; never sure which take priority; chases evidence from branches.</w:t>
      </w:r>
    </w:p>
    <w:p>
      <w:pPr>
        <w:spacing w:after="80" w:before="160"/>
      </w:pPr>
      <w:r>
        <w:rPr>
          <w:rFonts w:ascii="Calibri" w:cs="Calibri" w:eastAsia="Calibri" w:hAnsi="Calibri"/>
          <w:b/>
          <w:bCs/>
          <w:color w:val="333333"/>
          <w:sz w:val="22"/>
          <w:szCs w:val="22"/>
        </w:rPr>
        <w:t xml:space="preserve">Funmi – Branch Compliance Officer, Ikeja Branch</w:t>
      </w:r>
    </w:p>
    <w:p>
      <w:pPr>
        <w:spacing w:after="80" w:before="80" w:line="300"/>
        <w:jc w:val="left"/>
      </w:pPr>
      <w:r>
        <w:rPr>
          <w:rFonts w:ascii="Calibri" w:cs="Calibri" w:eastAsia="Calibri" w:hAnsi="Calibri"/>
          <w:b w:val="false"/>
          <w:bCs w:val="false"/>
          <w:i w:val="false"/>
          <w:iCs w:val="false"/>
          <w:color w:val="212121"/>
          <w:sz w:val="22"/>
          <w:szCs w:val="22"/>
        </w:rPr>
        <w:t xml:space="preserve">Profile: Line-of-business compliance at branch. CDD reviews, escalations.</w:t>
      </w:r>
    </w:p>
    <w:p>
      <w:pPr>
        <w:spacing w:after="80" w:before="80" w:line="300"/>
        <w:jc w:val="left"/>
      </w:pPr>
      <w:r>
        <w:rPr>
          <w:rFonts w:ascii="Calibri" w:cs="Calibri" w:eastAsia="Calibri" w:hAnsi="Calibri"/>
          <w:b w:val="false"/>
          <w:bCs w:val="false"/>
          <w:i w:val="false"/>
          <w:iCs w:val="false"/>
          <w:color w:val="212121"/>
          <w:sz w:val="22"/>
          <w:szCs w:val="22"/>
        </w:rPr>
        <w:t xml:space="preserve">Needs: Customer risk score on screen at account opening; BVN/NIN verification status; sanctions/PEP hits before account is activated; quick STR drafting interface.</w:t>
      </w:r>
    </w:p>
    <w:p>
      <w:pPr>
        <w:spacing w:after="80" w:before="80" w:line="300"/>
        <w:jc w:val="left"/>
      </w:pPr>
      <w:r>
        <w:rPr>
          <w:rFonts w:ascii="Calibri" w:cs="Calibri" w:eastAsia="Calibri" w:hAnsi="Calibri"/>
          <w:b w:val="false"/>
          <w:bCs w:val="false"/>
          <w:i w:val="false"/>
          <w:iCs w:val="false"/>
          <w:color w:val="212121"/>
          <w:sz w:val="22"/>
          <w:szCs w:val="22"/>
        </w:rPr>
        <w:t xml:space="preserve">Pain: Switches between Finacle, BVN portal, NIN portal and the AML system to onboard a single high-risk customer.</w:t>
      </w:r>
    </w:p>
    <w:p>
      <w:pPr>
        <w:spacing w:after="80" w:before="160"/>
      </w:pPr>
      <w:r>
        <w:rPr>
          <w:rFonts w:ascii="Calibri" w:cs="Calibri" w:eastAsia="Calibri" w:hAnsi="Calibri"/>
          <w:b/>
          <w:bCs/>
          <w:color w:val="333333"/>
          <w:sz w:val="22"/>
          <w:szCs w:val="22"/>
        </w:rPr>
        <w:t xml:space="preserve">Bisi – Internal Auditor</w:t>
      </w:r>
    </w:p>
    <w:p>
      <w:pPr>
        <w:spacing w:after="80" w:before="80" w:line="300"/>
        <w:jc w:val="left"/>
      </w:pPr>
      <w:r>
        <w:rPr>
          <w:rFonts w:ascii="Calibri" w:cs="Calibri" w:eastAsia="Calibri" w:hAnsi="Calibri"/>
          <w:b w:val="false"/>
          <w:bCs w:val="false"/>
          <w:i w:val="false"/>
          <w:iCs w:val="false"/>
          <w:color w:val="212121"/>
          <w:sz w:val="22"/>
          <w:szCs w:val="22"/>
        </w:rPr>
        <w:t xml:space="preserve">Profile: Reports to Board Audit Committee. CISA, CIA.</w:t>
      </w:r>
    </w:p>
    <w:p>
      <w:pPr>
        <w:spacing w:after="80" w:before="80" w:line="300"/>
        <w:jc w:val="left"/>
      </w:pPr>
      <w:r>
        <w:rPr>
          <w:rFonts w:ascii="Calibri" w:cs="Calibri" w:eastAsia="Calibri" w:hAnsi="Calibri"/>
          <w:b w:val="false"/>
          <w:bCs w:val="false"/>
          <w:i w:val="false"/>
          <w:iCs w:val="false"/>
          <w:color w:val="212121"/>
          <w:sz w:val="22"/>
          <w:szCs w:val="22"/>
        </w:rPr>
        <w:t xml:space="preserve">Needs: Read-only access to controls, testing evidence, audit trails of approvals.</w:t>
      </w:r>
    </w:p>
    <w:p>
      <w:pPr>
        <w:spacing w:after="80" w:before="80" w:line="300"/>
        <w:jc w:val="left"/>
      </w:pPr>
      <w:r>
        <w:rPr>
          <w:rFonts w:ascii="Calibri" w:cs="Calibri" w:eastAsia="Calibri" w:hAnsi="Calibri"/>
          <w:b w:val="false"/>
          <w:bCs w:val="false"/>
          <w:i w:val="false"/>
          <w:iCs w:val="false"/>
          <w:color w:val="212121"/>
          <w:sz w:val="22"/>
          <w:szCs w:val="22"/>
        </w:rPr>
        <w:t xml:space="preserve">Pain: Currently re-tests controls because evidence of first-line testing cannot be located.</w:t>
      </w:r>
    </w:p>
    <w:p>
      <w:pPr>
        <w:pStyle w:val="Heading1"/>
        <w:pageBreakBefore/>
        <w:spacing w:after="200" w:before="360"/>
      </w:pPr>
      <w:r>
        <w:rPr>
          <w:rFonts w:ascii="Calibri" w:cs="Calibri" w:eastAsia="Calibri" w:hAnsi="Calibri"/>
          <w:b/>
          <w:bCs/>
          <w:color w:val="C8102E"/>
          <w:sz w:val="40"/>
          <w:szCs w:val="40"/>
        </w:rPr>
        <w:t xml:space="preserve">6. Scope</w:t>
      </w:r>
    </w:p>
    <w:p>
      <w:pPr>
        <w:pStyle w:val="Heading3"/>
        <w:spacing w:after="100" w:before="200"/>
      </w:pPr>
      <w:r>
        <w:rPr>
          <w:rFonts w:ascii="Calibri" w:cs="Calibri" w:eastAsia="Calibri" w:hAnsi="Calibri"/>
          <w:b/>
          <w:bCs/>
          <w:color w:val="C8102E"/>
          <w:sz w:val="26"/>
          <w:szCs w:val="26"/>
        </w:rPr>
        <w:t xml:space="preserve">6.1 In Scope</w:t>
      </w:r>
    </w:p>
    <w:p>
      <w:pPr>
        <w:pStyle w:val="ListParagraph"/>
        <w:numPr>
          <w:ilvl w:val="0"/>
          <w:numId w:val="2"/>
        </w:numPr>
        <w:spacing w:after="40" w:before="40" w:line="280"/>
      </w:pPr>
      <w:r>
        <w:rPr>
          <w:rFonts w:ascii="Calibri" w:cs="Calibri" w:eastAsia="Calibri" w:hAnsi="Calibri"/>
          <w:color w:val="212121"/>
          <w:sz w:val="22"/>
          <w:szCs w:val="22"/>
        </w:rPr>
        <w:t xml:space="preserve">Regulatory library and horizon scanning for CBN, NDIC, NFIU, SEC, NGX, FMDQ, NDPC, FIRS, CAC, FRC, NAICOM, PenCom, EFCC, ICPC, NCC, NITDA, NCDMB, Federal Government Gazette.</w:t>
      </w:r>
    </w:p>
    <w:p>
      <w:pPr>
        <w:pStyle w:val="ListParagraph"/>
        <w:numPr>
          <w:ilvl w:val="0"/>
          <w:numId w:val="2"/>
        </w:numPr>
        <w:spacing w:after="40" w:before="40" w:line="280"/>
      </w:pPr>
      <w:r>
        <w:rPr>
          <w:rFonts w:ascii="Calibri" w:cs="Calibri" w:eastAsia="Calibri" w:hAnsi="Calibri"/>
          <w:color w:val="212121"/>
          <w:sz w:val="22"/>
          <w:szCs w:val="22"/>
        </w:rPr>
        <w:t xml:space="preserve">Policy and procedure management with version control, attestations and acknowledgement tracking.</w:t>
      </w:r>
    </w:p>
    <w:p>
      <w:pPr>
        <w:pStyle w:val="ListParagraph"/>
        <w:numPr>
          <w:ilvl w:val="0"/>
          <w:numId w:val="2"/>
        </w:numPr>
        <w:spacing w:after="40" w:before="40" w:line="280"/>
      </w:pPr>
      <w:r>
        <w:rPr>
          <w:rFonts w:ascii="Calibri" w:cs="Calibri" w:eastAsia="Calibri" w:hAnsi="Calibri"/>
          <w:color w:val="212121"/>
          <w:sz w:val="22"/>
          <w:szCs w:val="22"/>
        </w:rPr>
        <w:t xml:space="preserve">Obligations register with parent–child mapping (statute → regulation → guideline → circular → control).</w:t>
      </w:r>
    </w:p>
    <w:p>
      <w:pPr>
        <w:pStyle w:val="ListParagraph"/>
        <w:numPr>
          <w:ilvl w:val="0"/>
          <w:numId w:val="2"/>
        </w:numPr>
        <w:spacing w:after="40" w:before="40" w:line="280"/>
      </w:pPr>
      <w:r>
        <w:rPr>
          <w:rFonts w:ascii="Calibri" w:cs="Calibri" w:eastAsia="Calibri" w:hAnsi="Calibri"/>
          <w:color w:val="212121"/>
          <w:sz w:val="22"/>
          <w:szCs w:val="22"/>
        </w:rPr>
        <w:t xml:space="preserve">Risk and Control Self-Assessment (RCSA), Business Risk Assessment (BRA) for ML/TF/PF.</w:t>
      </w:r>
    </w:p>
    <w:p>
      <w:pPr>
        <w:pStyle w:val="ListParagraph"/>
        <w:numPr>
          <w:ilvl w:val="0"/>
          <w:numId w:val="2"/>
        </w:numPr>
        <w:spacing w:after="40" w:before="40" w:line="280"/>
      </w:pPr>
      <w:r>
        <w:rPr>
          <w:rFonts w:ascii="Calibri" w:cs="Calibri" w:eastAsia="Calibri" w:hAnsi="Calibri"/>
          <w:color w:val="212121"/>
          <w:sz w:val="22"/>
          <w:szCs w:val="22"/>
        </w:rPr>
        <w:t xml:space="preserve">Control testing — manual, automated, sample-based, continuous monitoring via KCI/KRI.</w:t>
      </w:r>
    </w:p>
    <w:p>
      <w:pPr>
        <w:pStyle w:val="ListParagraph"/>
        <w:numPr>
          <w:ilvl w:val="0"/>
          <w:numId w:val="2"/>
        </w:numPr>
        <w:spacing w:after="40" w:before="40" w:line="280"/>
      </w:pPr>
      <w:r>
        <w:rPr>
          <w:rFonts w:ascii="Calibri" w:cs="Calibri" w:eastAsia="Calibri" w:hAnsi="Calibri"/>
          <w:color w:val="212121"/>
          <w:sz w:val="22"/>
          <w:szCs w:val="22"/>
        </w:rPr>
        <w:t xml:space="preserve">AML/CFT/CPF: CDD, EDD, ongoing due diligence, customer risk scoring, periodic review.</w:t>
      </w:r>
    </w:p>
    <w:p>
      <w:pPr>
        <w:pStyle w:val="ListParagraph"/>
        <w:numPr>
          <w:ilvl w:val="0"/>
          <w:numId w:val="2"/>
        </w:numPr>
        <w:spacing w:after="40" w:before="40" w:line="280"/>
      </w:pPr>
      <w:r>
        <w:rPr>
          <w:rFonts w:ascii="Calibri" w:cs="Calibri" w:eastAsia="Calibri" w:hAnsi="Calibri"/>
          <w:color w:val="212121"/>
          <w:sz w:val="22"/>
          <w:szCs w:val="22"/>
        </w:rPr>
        <w:t xml:space="preserve">Sanctions, PEP and adverse-media screening at onboarding and continuously.</w:t>
      </w:r>
    </w:p>
    <w:p>
      <w:pPr>
        <w:pStyle w:val="ListParagraph"/>
        <w:numPr>
          <w:ilvl w:val="0"/>
          <w:numId w:val="2"/>
        </w:numPr>
        <w:spacing w:after="40" w:before="40" w:line="280"/>
      </w:pPr>
      <w:r>
        <w:rPr>
          <w:rFonts w:ascii="Calibri" w:cs="Calibri" w:eastAsia="Calibri" w:hAnsi="Calibri"/>
          <w:color w:val="212121"/>
          <w:sz w:val="22"/>
          <w:szCs w:val="22"/>
        </w:rPr>
        <w:t xml:space="preserve">Transaction monitoring with rule engine, scenarios calibrated to Nigerian typologies.</w:t>
      </w:r>
    </w:p>
    <w:p>
      <w:pPr>
        <w:pStyle w:val="ListParagraph"/>
        <w:numPr>
          <w:ilvl w:val="0"/>
          <w:numId w:val="2"/>
        </w:numPr>
        <w:spacing w:after="40" w:before="40" w:line="280"/>
      </w:pPr>
      <w:r>
        <w:rPr>
          <w:rFonts w:ascii="Calibri" w:cs="Calibri" w:eastAsia="Calibri" w:hAnsi="Calibri"/>
          <w:color w:val="212121"/>
          <w:sz w:val="22"/>
          <w:szCs w:val="22"/>
        </w:rPr>
        <w:t xml:space="preserve">Suspicious Transaction Report (STR) drafting and submission to NFIU via goAML XML.</w:t>
      </w:r>
    </w:p>
    <w:p>
      <w:pPr>
        <w:pStyle w:val="ListParagraph"/>
        <w:numPr>
          <w:ilvl w:val="0"/>
          <w:numId w:val="2"/>
        </w:numPr>
        <w:spacing w:after="40" w:before="40" w:line="280"/>
      </w:pPr>
      <w:r>
        <w:rPr>
          <w:rFonts w:ascii="Calibri" w:cs="Calibri" w:eastAsia="Calibri" w:hAnsi="Calibri"/>
          <w:color w:val="212121"/>
          <w:sz w:val="22"/>
          <w:szCs w:val="22"/>
        </w:rPr>
        <w:t xml:space="preserve">Currency Transaction Report (CTR) automation against N5m (individual) / N10m (corporate) thresholds.</w:t>
      </w:r>
    </w:p>
    <w:p>
      <w:pPr>
        <w:pStyle w:val="ListParagraph"/>
        <w:numPr>
          <w:ilvl w:val="0"/>
          <w:numId w:val="2"/>
        </w:numPr>
        <w:spacing w:after="40" w:before="40" w:line="280"/>
      </w:pPr>
      <w:r>
        <w:rPr>
          <w:rFonts w:ascii="Calibri" w:cs="Calibri" w:eastAsia="Calibri" w:hAnsi="Calibri"/>
          <w:color w:val="212121"/>
          <w:sz w:val="22"/>
          <w:szCs w:val="22"/>
        </w:rPr>
        <w:t xml:space="preserve">Currency Declaration Report (CDR) tracking for cross-border movement of currency.</w:t>
      </w:r>
    </w:p>
    <w:p>
      <w:pPr>
        <w:pStyle w:val="ListParagraph"/>
        <w:numPr>
          <w:ilvl w:val="0"/>
          <w:numId w:val="2"/>
        </w:numPr>
        <w:spacing w:after="40" w:before="40" w:line="280"/>
      </w:pPr>
      <w:r>
        <w:rPr>
          <w:rFonts w:ascii="Calibri" w:cs="Calibri" w:eastAsia="Calibri" w:hAnsi="Calibri"/>
          <w:color w:val="212121"/>
          <w:sz w:val="22"/>
          <w:szCs w:val="22"/>
        </w:rPr>
        <w:t xml:space="preserve">Regulatory returns generation: CBN eFASS, FinA, RBS, NDIC, NDPC, FIRS TaxPro Max, SEC e-portal, PenCom RBS.</w:t>
      </w:r>
    </w:p>
    <w:p>
      <w:pPr>
        <w:pStyle w:val="ListParagraph"/>
        <w:numPr>
          <w:ilvl w:val="0"/>
          <w:numId w:val="2"/>
        </w:numPr>
        <w:spacing w:after="40" w:before="40" w:line="280"/>
      </w:pPr>
      <w:r>
        <w:rPr>
          <w:rFonts w:ascii="Calibri" w:cs="Calibri" w:eastAsia="Calibri" w:hAnsi="Calibri"/>
          <w:color w:val="212121"/>
          <w:sz w:val="22"/>
          <w:szCs w:val="22"/>
        </w:rPr>
        <w:t xml:space="preserve">Consumer protection and complaints management aligned to CBN Consumer Protection Regulations 2019.</w:t>
      </w:r>
    </w:p>
    <w:p>
      <w:pPr>
        <w:pStyle w:val="ListParagraph"/>
        <w:numPr>
          <w:ilvl w:val="0"/>
          <w:numId w:val="2"/>
        </w:numPr>
        <w:spacing w:after="40" w:before="40" w:line="280"/>
      </w:pPr>
      <w:r>
        <w:rPr>
          <w:rFonts w:ascii="Calibri" w:cs="Calibri" w:eastAsia="Calibri" w:hAnsi="Calibri"/>
          <w:color w:val="212121"/>
          <w:sz w:val="22"/>
          <w:szCs w:val="22"/>
        </w:rPr>
        <w:t xml:space="preserve">Whistleblowing aligned with CBN Whistleblowing Guidelines for Banks and OFIs.</w:t>
      </w:r>
    </w:p>
    <w:p>
      <w:pPr>
        <w:pStyle w:val="ListParagraph"/>
        <w:numPr>
          <w:ilvl w:val="0"/>
          <w:numId w:val="2"/>
        </w:numPr>
        <w:spacing w:after="40" w:before="40" w:line="280"/>
      </w:pPr>
      <w:r>
        <w:rPr>
          <w:rFonts w:ascii="Calibri" w:cs="Calibri" w:eastAsia="Calibri" w:hAnsi="Calibri"/>
          <w:color w:val="212121"/>
          <w:sz w:val="22"/>
          <w:szCs w:val="22"/>
        </w:rPr>
        <w:t xml:space="preserve">Vendor / third-party risk management aligned to CBN Outsourcing Standards and NDPA data-processor obligations.</w:t>
      </w:r>
    </w:p>
    <w:p>
      <w:pPr>
        <w:pStyle w:val="ListParagraph"/>
        <w:numPr>
          <w:ilvl w:val="0"/>
          <w:numId w:val="2"/>
        </w:numPr>
        <w:spacing w:after="40" w:before="40" w:line="280"/>
      </w:pPr>
      <w:r>
        <w:rPr>
          <w:rFonts w:ascii="Calibri" w:cs="Calibri" w:eastAsia="Calibri" w:hAnsi="Calibri"/>
          <w:color w:val="212121"/>
          <w:sz w:val="22"/>
          <w:szCs w:val="22"/>
        </w:rPr>
        <w:t xml:space="preserve">Training, attestation, certification tracking (KYC, AML, conduct, ethics, NDPA).</w:t>
      </w:r>
    </w:p>
    <w:p>
      <w:pPr>
        <w:pStyle w:val="ListParagraph"/>
        <w:numPr>
          <w:ilvl w:val="0"/>
          <w:numId w:val="2"/>
        </w:numPr>
        <w:spacing w:after="40" w:before="40" w:line="280"/>
      </w:pPr>
      <w:r>
        <w:rPr>
          <w:rFonts w:ascii="Calibri" w:cs="Calibri" w:eastAsia="Calibri" w:hAnsi="Calibri"/>
          <w:color w:val="212121"/>
          <w:sz w:val="22"/>
          <w:szCs w:val="22"/>
        </w:rPr>
        <w:t xml:space="preserve">Data protection workflow: RoPA, DPIA, data subject rights, breach register and 72-hour NDPC notification.</w:t>
      </w:r>
    </w:p>
    <w:p>
      <w:pPr>
        <w:pStyle w:val="ListParagraph"/>
        <w:numPr>
          <w:ilvl w:val="0"/>
          <w:numId w:val="2"/>
        </w:numPr>
        <w:spacing w:after="40" w:before="40" w:line="280"/>
      </w:pPr>
      <w:r>
        <w:rPr>
          <w:rFonts w:ascii="Calibri" w:cs="Calibri" w:eastAsia="Calibri" w:hAnsi="Calibri"/>
          <w:color w:val="212121"/>
          <w:sz w:val="22"/>
          <w:szCs w:val="22"/>
        </w:rPr>
        <w:t xml:space="preserve">Incident and breach management (operational, cyber, conduct, financial-crime, data).</w:t>
      </w:r>
    </w:p>
    <w:p>
      <w:pPr>
        <w:pStyle w:val="ListParagraph"/>
        <w:numPr>
          <w:ilvl w:val="0"/>
          <w:numId w:val="2"/>
        </w:numPr>
        <w:spacing w:after="40" w:before="40" w:line="280"/>
      </w:pPr>
      <w:r>
        <w:rPr>
          <w:rFonts w:ascii="Calibri" w:cs="Calibri" w:eastAsia="Calibri" w:hAnsi="Calibri"/>
          <w:color w:val="212121"/>
          <w:sz w:val="22"/>
          <w:szCs w:val="22"/>
        </w:rPr>
        <w:t xml:space="preserve">Compliance calendar tied to obligations.</w:t>
      </w:r>
    </w:p>
    <w:p>
      <w:pPr>
        <w:pStyle w:val="ListParagraph"/>
        <w:numPr>
          <w:ilvl w:val="0"/>
          <w:numId w:val="2"/>
        </w:numPr>
        <w:spacing w:after="40" w:before="40" w:line="280"/>
      </w:pPr>
      <w:r>
        <w:rPr>
          <w:rFonts w:ascii="Calibri" w:cs="Calibri" w:eastAsia="Calibri" w:hAnsi="Calibri"/>
          <w:color w:val="212121"/>
          <w:sz w:val="22"/>
          <w:szCs w:val="22"/>
        </w:rPr>
        <w:t xml:space="preserve">FATCA and Common Reporting Standard (CRS) classification, reporting.</w:t>
      </w:r>
    </w:p>
    <w:p>
      <w:pPr>
        <w:pStyle w:val="ListParagraph"/>
        <w:numPr>
          <w:ilvl w:val="0"/>
          <w:numId w:val="2"/>
        </w:numPr>
        <w:spacing w:after="40" w:before="40" w:line="280"/>
      </w:pPr>
      <w:r>
        <w:rPr>
          <w:rFonts w:ascii="Calibri" w:cs="Calibri" w:eastAsia="Calibri" w:hAnsi="Calibri"/>
          <w:color w:val="212121"/>
          <w:sz w:val="22"/>
          <w:szCs w:val="22"/>
        </w:rPr>
        <w:t xml:space="preserve">Tax compliance: VAT, WHT, EMTL, CIT obligations, Stamp Duty.</w:t>
      </w:r>
    </w:p>
    <w:p>
      <w:pPr>
        <w:pStyle w:val="ListParagraph"/>
        <w:numPr>
          <w:ilvl w:val="0"/>
          <w:numId w:val="2"/>
        </w:numPr>
        <w:spacing w:after="40" w:before="40" w:line="280"/>
      </w:pPr>
      <w:r>
        <w:rPr>
          <w:rFonts w:ascii="Calibri" w:cs="Calibri" w:eastAsia="Calibri" w:hAnsi="Calibri"/>
          <w:color w:val="212121"/>
          <w:sz w:val="22"/>
          <w:szCs w:val="22"/>
        </w:rPr>
        <w:t xml:space="preserve">Conduct risk: mis-selling, market abuse, insider trading surveillance hooks (alert ingestion, case management).</w:t>
      </w:r>
    </w:p>
    <w:p>
      <w:pPr>
        <w:pStyle w:val="ListParagraph"/>
        <w:numPr>
          <w:ilvl w:val="0"/>
          <w:numId w:val="2"/>
        </w:numPr>
        <w:spacing w:after="40" w:before="40" w:line="280"/>
      </w:pPr>
      <w:r>
        <w:rPr>
          <w:rFonts w:ascii="Calibri" w:cs="Calibri" w:eastAsia="Calibri" w:hAnsi="Calibri"/>
          <w:color w:val="212121"/>
          <w:sz w:val="22"/>
          <w:szCs w:val="22"/>
        </w:rPr>
        <w:t xml:space="preserve">Dashboards, board pack generation, regulator-facing read-only portal (Phase 2).</w:t>
      </w:r>
    </w:p>
    <w:p>
      <w:pPr>
        <w:pStyle w:val="ListParagraph"/>
        <w:numPr>
          <w:ilvl w:val="0"/>
          <w:numId w:val="2"/>
        </w:numPr>
        <w:spacing w:after="40" w:before="40" w:line="280"/>
      </w:pPr>
      <w:r>
        <w:rPr>
          <w:rFonts w:ascii="Calibri" w:cs="Calibri" w:eastAsia="Calibri" w:hAnsi="Calibri"/>
          <w:color w:val="212121"/>
          <w:sz w:val="22"/>
          <w:szCs w:val="22"/>
        </w:rPr>
        <w:t xml:space="preserve">Audit trail and tamper-evident evidence store.</w:t>
      </w:r>
    </w:p>
    <w:p>
      <w:pPr>
        <w:pStyle w:val="Heading3"/>
        <w:spacing w:after="100" w:before="200"/>
      </w:pPr>
      <w:r>
        <w:rPr>
          <w:rFonts w:ascii="Calibri" w:cs="Calibri" w:eastAsia="Calibri" w:hAnsi="Calibri"/>
          <w:b/>
          <w:bCs/>
          <w:color w:val="C8102E"/>
          <w:sz w:val="26"/>
          <w:szCs w:val="26"/>
        </w:rPr>
        <w:t xml:space="preserve">6.2 Out of Scope</w:t>
      </w:r>
    </w:p>
    <w:p>
      <w:pPr>
        <w:pStyle w:val="ListParagraph"/>
        <w:numPr>
          <w:ilvl w:val="0"/>
          <w:numId w:val="2"/>
        </w:numPr>
        <w:spacing w:after="40" w:before="40" w:line="280"/>
      </w:pPr>
      <w:r>
        <w:rPr>
          <w:rFonts w:ascii="Calibri" w:cs="Calibri" w:eastAsia="Calibri" w:hAnsi="Calibri"/>
          <w:color w:val="212121"/>
          <w:sz w:val="22"/>
          <w:szCs w:val="22"/>
        </w:rPr>
        <w:t xml:space="preserve">Core banking ledger functions and posting.</w:t>
      </w:r>
    </w:p>
    <w:p>
      <w:pPr>
        <w:pStyle w:val="ListParagraph"/>
        <w:numPr>
          <w:ilvl w:val="0"/>
          <w:numId w:val="2"/>
        </w:numPr>
        <w:spacing w:after="40" w:before="40" w:line="280"/>
      </w:pPr>
      <w:r>
        <w:rPr>
          <w:rFonts w:ascii="Calibri" w:cs="Calibri" w:eastAsia="Calibri" w:hAnsi="Calibri"/>
          <w:color w:val="212121"/>
          <w:sz w:val="22"/>
          <w:szCs w:val="22"/>
        </w:rPr>
        <w:t xml:space="preserve">Real-time fraud scoring of payments (assumed delivered by separate fraud engine; NGCOMPLY consumes its alerts).</w:t>
      </w:r>
    </w:p>
    <w:p>
      <w:pPr>
        <w:pStyle w:val="ListParagraph"/>
        <w:numPr>
          <w:ilvl w:val="0"/>
          <w:numId w:val="2"/>
        </w:numPr>
        <w:spacing w:after="40" w:before="40" w:line="280"/>
      </w:pPr>
      <w:r>
        <w:rPr>
          <w:rFonts w:ascii="Calibri" w:cs="Calibri" w:eastAsia="Calibri" w:hAnsi="Calibri"/>
          <w:color w:val="212121"/>
          <w:sz w:val="22"/>
          <w:szCs w:val="22"/>
        </w:rPr>
        <w:t xml:space="preserve">Treasury middle-office market-risk computation.</w:t>
      </w:r>
    </w:p>
    <w:p>
      <w:pPr>
        <w:pStyle w:val="ListParagraph"/>
        <w:numPr>
          <w:ilvl w:val="0"/>
          <w:numId w:val="2"/>
        </w:numPr>
        <w:spacing w:after="40" w:before="40" w:line="280"/>
      </w:pPr>
      <w:r>
        <w:rPr>
          <w:rFonts w:ascii="Calibri" w:cs="Calibri" w:eastAsia="Calibri" w:hAnsi="Calibri"/>
          <w:color w:val="212121"/>
          <w:sz w:val="22"/>
          <w:szCs w:val="22"/>
        </w:rPr>
        <w:t xml:space="preserve">ESG reporting beyond CBN Sustainable Banking Principles and FRC ESG disclosure (Phase 3 candidate).</w:t>
      </w:r>
    </w:p>
    <w:p>
      <w:pPr>
        <w:pStyle w:val="ListParagraph"/>
        <w:numPr>
          <w:ilvl w:val="0"/>
          <w:numId w:val="2"/>
        </w:numPr>
        <w:spacing w:after="40" w:before="40" w:line="280"/>
      </w:pPr>
      <w:r>
        <w:rPr>
          <w:rFonts w:ascii="Calibri" w:cs="Calibri" w:eastAsia="Calibri" w:hAnsi="Calibri"/>
          <w:color w:val="212121"/>
          <w:sz w:val="22"/>
          <w:szCs w:val="22"/>
        </w:rPr>
        <w:t xml:space="preserve">Tax filing for corporate income tax (FIRS TaxPro Max integration is in-scope, but the underlying tax computation engine is not built — it is integrated with the bank's existing tax solution).</w:t>
      </w:r>
    </w:p>
    <w:p>
      <w:pPr>
        <w:pStyle w:val="Heading1"/>
        <w:pageBreakBefore/>
        <w:spacing w:after="200" w:before="360"/>
      </w:pPr>
      <w:r>
        <w:rPr>
          <w:rFonts w:ascii="Calibri" w:cs="Calibri" w:eastAsia="Calibri" w:hAnsi="Calibri"/>
          <w:b/>
          <w:bCs/>
          <w:color w:val="C8102E"/>
          <w:sz w:val="40"/>
          <w:szCs w:val="40"/>
        </w:rPr>
        <w:t xml:space="preserve">7. Nigerian Regulatory Landscape</w:t>
      </w:r>
    </w:p>
    <w:p>
      <w:pPr>
        <w:spacing w:after="80" w:before="80" w:line="300"/>
        <w:jc w:val="left"/>
      </w:pPr>
      <w:r>
        <w:rPr>
          <w:rFonts w:ascii="Calibri" w:cs="Calibri" w:eastAsia="Calibri" w:hAnsi="Calibri"/>
          <w:b w:val="false"/>
          <w:bCs w:val="false"/>
          <w:i w:val="false"/>
          <w:iCs w:val="false"/>
          <w:color w:val="212121"/>
          <w:sz w:val="22"/>
          <w:szCs w:val="22"/>
        </w:rPr>
        <w:t xml:space="preserve">The platform is built to natively serve obligations issued by the regulators below. Each module in Section 8 declares which regulator(s) it primarily serves, and Appendix A is the seed obligation inventory the platform will load on Day 1.</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Acronym</w:t>
            </w:r>
          </w:p>
        </w:tc>
        <w:tc>
          <w:tcPr>
            <w:tcW w:type="dxa" w:w="24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Regulator / Agency</w:t>
            </w:r>
          </w:p>
        </w:tc>
        <w:tc>
          <w:tcPr>
            <w:tcW w:type="dxa" w:w="24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Mandate</w:t>
            </w:r>
          </w:p>
        </w:tc>
        <w:tc>
          <w:tcPr>
            <w:tcW w:type="dxa" w:w="36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Key Instruments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Central Bank of Nigeria</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Banking, payments, FX, currency, prudential, AML/CFT/CPF for banks and OFIs, consumer protection, cybersecurity, Open Banking, payment service banks, MFBs.</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BOFIA 2020, CBN Act 2007, CBN circulars and prudential guidelines, AML/CFT/CPF Regulation 2022, Consumer Protection Regulations 2019, Cybersecurity Framework 2018/2022 for DMBs, PSBs, Open Banking Framework 2023, IT Standards Blueprint, Risk-Based Cyber-Resilience Assessment Framework, Guidelines for Mobile Money, Guide to Bank Charges 2020.</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NDIC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Deposit Insurance Corporation</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Deposit insurance, target examinations, failure resolution, premium assessment.</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NDIC Act 2023, Differential Premium Assessment System.</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NFIU</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Nigerian Financial Intelligence Unit</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Receives STR/CTR/CDR, conducts financial intelligence analysis, issues strategic and operational guidance.</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NFIU Act 2018, NFIU Regulations, goAML XML schema.</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SCUML</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Special Control Unit Against Money Laundering</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Supervises DNFBPs; banks file certain reports through SCUML.</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Money Laundering (Prevention and Prohibition) Act 2022.</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Securities and Exchange Commission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Capital market regulator; licenses CMOs; AML/CFT for capital market.</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ISA 2025 (as enacted), SEC Rules, SEC AML/CFT (Capital Market Operators) Regulations 2022, Code of Corporate Governance.</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NGX</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Nigerian Exchange Limited</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Listing rules, market surveillance, post-listing obligations.</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NGX Rulebook, Listing Rules.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FMDQ</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FMDQ Securities Exchange</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OTC market, debt capital markets, FX, derivatives.</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FMDQ Rulebooks.</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NDPC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Data Protection Commission</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protection supervisory authority.</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Data Protection Act (NDPA) 2023; NDPR 2019 (as supplemented); NDPC Implementation Directive 2025.</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NITDA</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National Information Technology Development Agency</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ICT industry development; cybersecurity for IT systems.</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NITDA Act 2007; NITDA Code of Practice for Interactive Computer Service Platforms.</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FIRS</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Federal Inland Revenue Service</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Federal taxes — VAT, CIT, WHT, EMTL, Stamp Duty, FATCA/CRS, Capital Gains Tax.</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FIRS Establishment Act, FATCA IGA Model 2 status, CRS regulations.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CAC</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Corporate Affairs Commission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Company registration, beneficial ownership register (CAMA 2020 PSC register), business name, incorporated trustees.</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CAMA 2020.</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FRC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Reporting Council of Nigeria</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Accounting standards, audit oversight, corporate governance, sustainability disclosure.</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FRC Act 2011 (as amended); Nigerian Code of Corporate Governance 2018; Nigerian Sustainability Disclosure Standards.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NAICOM</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National Insurance Commission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Insurance and reinsurance, takaful.</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Insurance Act 2003, NAICOM Operational Guidelines, Risk-Based Supervision Framework.</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PenCom</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National Pension Commission</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Pension fund administrators, custodians, the Contributory Pension Scheme.</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Pension Reform Act 2014, PenCom RBS framework.</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EFCC</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Economic and Financial Crimes Commission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Investigates financial crimes; bank reporting interactions.</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EFCC Establishment Act 2004; Advance Fee Fraud Act 2006.</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ICPC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Independent Corrupt Practices Commission</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Corruption-related offences.</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Corrupt Practices and Other Related Offences Act 2000.</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NCC</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Nigerian Communications Commission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Relevant where banks operate USSD, mobile money, telecoms partnerships.</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NCC Act, NCC USSD Pricing Determination.</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FCCPC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Federal Competition and Consumer Protection Commission</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Cross-sector competition and consumer protection.</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Federal Competition and Consumer Protection Act 2018.</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NIMC</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National Identity Management Commission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National Identification Number (NIN).</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NIMC Act 2007; Mandatory Use of NIN Regulations 2017.</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NIBSS</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Inter-Bank Settlement System</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Operates BVN, NIP, NEFT, Industry Customer Account Database, Watch-list.</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CBN-issued operating rules; BVN Regulatory Framework.</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OAGF</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Office of the Attorney-General of the Federation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AML/CFT designations, Mutual Legal Assistance, Nigeria Sanctions Committee secretariat (in some configurations).</w:t>
            </w:r>
          </w:p>
        </w:tc>
        <w:tc>
          <w:tcPr>
            <w:tcW w:type="dxa" w:w="36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Money Laundering Act 2022; Terrorism Prevention and Prohibition Act 2022.</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NSC</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Sanctions Committee</w:t>
            </w:r>
          </w:p>
        </w:tc>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Maintains Nigerian sanctions list; designations under UN 1267, 1373, 1540.</w:t>
            </w:r>
          </w:p>
        </w:tc>
        <w:tc>
          <w:tcPr>
            <w:tcW w:type="dxa" w:w="36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Terrorism Prevention and Prohibition Act 2022; NSC Implementation Regulations.</w:t>
            </w:r>
          </w:p>
        </w:tc>
      </w:tr>
    </w:tbl>
    <w:p>
      <w:pPr>
        <w:pStyle w:val="Heading1"/>
        <w:pageBreakBefore/>
        <w:spacing w:after="200" w:before="360"/>
      </w:pPr>
      <w:r>
        <w:rPr>
          <w:rFonts w:ascii="Calibri" w:cs="Calibri" w:eastAsia="Calibri" w:hAnsi="Calibri"/>
          <w:b/>
          <w:bCs/>
          <w:color w:val="C8102E"/>
          <w:sz w:val="40"/>
          <w:szCs w:val="40"/>
        </w:rPr>
        <w:t xml:space="preserve">8. Functional Requirements — Modules</w:t>
      </w:r>
    </w:p>
    <w:p>
      <w:pPr>
        <w:spacing w:after="80" w:before="80" w:line="300"/>
        <w:jc w:val="left"/>
      </w:pPr>
      <w:r>
        <w:rPr>
          <w:rFonts w:ascii="Calibri" w:cs="Calibri" w:eastAsia="Calibri" w:hAnsi="Calibri"/>
          <w:b w:val="false"/>
          <w:bCs w:val="false"/>
          <w:i w:val="false"/>
          <w:iCs w:val="false"/>
          <w:color w:val="212121"/>
          <w:sz w:val="22"/>
          <w:szCs w:val="22"/>
        </w:rPr>
        <w:t xml:space="preserve">Each module specifies: (i) description and intent; (ii) detailed functional rules; (iii) integration points; (iv) acceptance criteria. Functional rules use the FR&lt;module&gt;.&lt;n&gt; identifier scheme; acceptance criteria use AC&lt;module&gt;.&lt;n&gt;. These IDs are stable and referenced by the build backlog and test plan.</w:t>
      </w:r>
    </w:p>
    <w:p>
      <w:pPr>
        <w:pStyle w:val="Heading2"/>
        <w:spacing w:after="140" w:before="280"/>
      </w:pPr>
      <w:r>
        <w:rPr>
          <w:rFonts w:ascii="Calibri" w:cs="Calibri" w:eastAsia="Calibri" w:hAnsi="Calibri"/>
          <w:b/>
          <w:bCs/>
          <w:color w:val="1F1F1F"/>
          <w:sz w:val="30"/>
          <w:szCs w:val="30"/>
        </w:rPr>
        <w:t xml:space="preserve">M01 — Regulatory Library &amp; Horizon Scanning</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Single, version-controlled inventory of every statute, regulation, guideline, circular, framework, code, rule, prudential standard and supervisory letter applicable to the institution. The seed inventory is the user's BCC.CHNW Regulatory Universe (Appendix A). Subsequent additions are sourced via automated horizon-scanning feeds and a regulator change-management workflow.</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FR1.1 Each regulatory instrument is stored with: unique ID, hierarchical type (Act / Regulation / Guideline / Circular / Framework / Code / Rule / Standard / Letter), title, issuing regulator, instrument number, date issued, effective date, repeal date if any, jurisdiction, applicable institution type (DMB, MFB, PSB, MMO, BDC, CMO, PFA, etc.), theme (Financial Crime / Business Conduct / Client Conduct / Prudential / Operational / Data Protection / Tax / Corporate Governance), category (Core / Ancillary / Imminent), summary, full text PDF reference, parent instrument, child instruments.</w:t>
      </w:r>
    </w:p>
    <w:p>
      <w:pPr>
        <w:pStyle w:val="ListParagraph"/>
        <w:numPr>
          <w:ilvl w:val="0"/>
          <w:numId w:val="2"/>
        </w:numPr>
        <w:spacing w:after="40" w:before="40" w:line="280"/>
      </w:pPr>
      <w:r>
        <w:rPr>
          <w:rFonts w:ascii="Calibri" w:cs="Calibri" w:eastAsia="Calibri" w:hAnsi="Calibri"/>
          <w:color w:val="212121"/>
          <w:sz w:val="22"/>
          <w:szCs w:val="22"/>
        </w:rPr>
        <w:t xml:space="preserve">FR1.2 Each instrument carries a risk assessment with impact (1–3), likelihood (1–3), overall rating (H / M / L) derived from the risk matrix and editable with rationale.</w:t>
      </w:r>
    </w:p>
    <w:p>
      <w:pPr>
        <w:pStyle w:val="ListParagraph"/>
        <w:numPr>
          <w:ilvl w:val="0"/>
          <w:numId w:val="2"/>
        </w:numPr>
        <w:spacing w:after="40" w:before="40" w:line="280"/>
      </w:pPr>
      <w:r>
        <w:rPr>
          <w:rFonts w:ascii="Calibri" w:cs="Calibri" w:eastAsia="Calibri" w:hAnsi="Calibri"/>
          <w:color w:val="212121"/>
          <w:sz w:val="22"/>
          <w:szCs w:val="22"/>
        </w:rPr>
        <w:t xml:space="preserve">FR1.3 The CCO can assign a Compliance Owner (BCO) and a specialist contact for each instrument.</w:t>
      </w:r>
    </w:p>
    <w:p>
      <w:pPr>
        <w:pStyle w:val="ListParagraph"/>
        <w:numPr>
          <w:ilvl w:val="0"/>
          <w:numId w:val="2"/>
        </w:numPr>
        <w:spacing w:after="40" w:before="40" w:line="280"/>
      </w:pPr>
      <w:r>
        <w:rPr>
          <w:rFonts w:ascii="Calibri" w:cs="Calibri" w:eastAsia="Calibri" w:hAnsi="Calibri"/>
          <w:color w:val="212121"/>
          <w:sz w:val="22"/>
          <w:szCs w:val="22"/>
        </w:rPr>
        <w:t xml:space="preserve">FR1.4 Horizon scanning: the platform polls CBN (cbn.gov.ng/Documents, /Out/Publications), NDIC, NFIU, SEC, NGX, FMDQ, NDPC, NITDA, FIRS (Tax Circulars), CAC, FRC, NAICOM, PenCom, the Federal Government Gazette and FATF / GIABA daily; new documents trigger a Change Management workflow.</w:t>
      </w:r>
    </w:p>
    <w:p>
      <w:pPr>
        <w:pStyle w:val="ListParagraph"/>
        <w:numPr>
          <w:ilvl w:val="0"/>
          <w:numId w:val="2"/>
        </w:numPr>
        <w:spacing w:after="40" w:before="40" w:line="280"/>
      </w:pPr>
      <w:r>
        <w:rPr>
          <w:rFonts w:ascii="Calibri" w:cs="Calibri" w:eastAsia="Calibri" w:hAnsi="Calibri"/>
          <w:color w:val="212121"/>
          <w:sz w:val="22"/>
          <w:szCs w:val="22"/>
        </w:rPr>
        <w:t xml:space="preserve">FR1.5 Change Management workflow: New instrument → Triage (CCO / Reg. Compliance Lead) → Impact Assessment (LOB compliance officers) → Implementation Plan (Policy update, Control change, Training, System change) → Sign-off → Closure with evidence.</w:t>
      </w:r>
    </w:p>
    <w:p>
      <w:pPr>
        <w:pStyle w:val="ListParagraph"/>
        <w:numPr>
          <w:ilvl w:val="0"/>
          <w:numId w:val="2"/>
        </w:numPr>
        <w:spacing w:after="40" w:before="40" w:line="280"/>
      </w:pPr>
      <w:r>
        <w:rPr>
          <w:rFonts w:ascii="Calibri" w:cs="Calibri" w:eastAsia="Calibri" w:hAnsi="Calibri"/>
          <w:color w:val="212121"/>
          <w:sz w:val="22"/>
          <w:szCs w:val="22"/>
        </w:rPr>
        <w:t xml:space="preserve">FR1.6 Full text search across titles, summaries, full text PDFs (OCR if scanned), keywords and the obligation register.</w:t>
      </w:r>
    </w:p>
    <w:p>
      <w:pPr>
        <w:pStyle w:val="ListParagraph"/>
        <w:numPr>
          <w:ilvl w:val="0"/>
          <w:numId w:val="2"/>
        </w:numPr>
        <w:spacing w:after="40" w:before="40" w:line="280"/>
      </w:pPr>
      <w:r>
        <w:rPr>
          <w:rFonts w:ascii="Calibri" w:cs="Calibri" w:eastAsia="Calibri" w:hAnsi="Calibri"/>
          <w:color w:val="212121"/>
          <w:sz w:val="22"/>
          <w:szCs w:val="22"/>
        </w:rPr>
        <w:t xml:space="preserve">FR1.7 Bulk import via XLSX template (matching the user's existing 13-column schema in BCC.CHNW Reg Universe).</w:t>
      </w:r>
    </w:p>
    <w:p>
      <w:pPr>
        <w:pStyle w:val="ListParagraph"/>
        <w:numPr>
          <w:ilvl w:val="0"/>
          <w:numId w:val="2"/>
        </w:numPr>
        <w:spacing w:after="40" w:before="40" w:line="280"/>
      </w:pPr>
      <w:r>
        <w:rPr>
          <w:rFonts w:ascii="Calibri" w:cs="Calibri" w:eastAsia="Calibri" w:hAnsi="Calibri"/>
          <w:color w:val="212121"/>
          <w:sz w:val="22"/>
          <w:szCs w:val="22"/>
        </w:rPr>
        <w:t xml:space="preserve">FR1.8 Audit trail of every edit; immutable history.</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CBN, NDIC, NFIU, SEC, NDPC, FIRS, CAC, FRC web feeds; Federal Government Gazette RSS (where available); FATF and GIABA RSS.</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AC1.1 All 36 obligations in Appendix A load on Day 1 without manual re-entry.</w:t>
      </w:r>
    </w:p>
    <w:p>
      <w:pPr>
        <w:pStyle w:val="ListParagraph"/>
        <w:numPr>
          <w:ilvl w:val="0"/>
          <w:numId w:val="2"/>
        </w:numPr>
        <w:spacing w:after="40" w:before="40" w:line="280"/>
      </w:pPr>
      <w:r>
        <w:rPr>
          <w:rFonts w:ascii="Calibri" w:cs="Calibri" w:eastAsia="Calibri" w:hAnsi="Calibri"/>
          <w:color w:val="212121"/>
          <w:sz w:val="22"/>
          <w:szCs w:val="22"/>
        </w:rPr>
        <w:t xml:space="preserve">AC1.2 A new CBN circular posted to cbn.gov.ng appears in the platform within 24 hours.</w:t>
      </w:r>
    </w:p>
    <w:p>
      <w:pPr>
        <w:pStyle w:val="ListParagraph"/>
        <w:numPr>
          <w:ilvl w:val="0"/>
          <w:numId w:val="2"/>
        </w:numPr>
        <w:spacing w:after="40" w:before="40" w:line="280"/>
      </w:pPr>
      <w:r>
        <w:rPr>
          <w:rFonts w:ascii="Calibri" w:cs="Calibri" w:eastAsia="Calibri" w:hAnsi="Calibri"/>
          <w:color w:val="212121"/>
          <w:sz w:val="22"/>
          <w:szCs w:val="22"/>
        </w:rPr>
        <w:t xml:space="preserve">AC1.3 Search returns relevant results in ≤2 seconds across a library of 5,000 documents.</w:t>
      </w:r>
    </w:p>
    <w:p>
      <w:pPr>
        <w:pStyle w:val="Heading2"/>
        <w:spacing w:after="140" w:before="280"/>
      </w:pPr>
      <w:r>
        <w:rPr>
          <w:rFonts w:ascii="Calibri" w:cs="Calibri" w:eastAsia="Calibri" w:hAnsi="Calibri"/>
          <w:b/>
          <w:bCs/>
          <w:color w:val="1F1F1F"/>
          <w:sz w:val="30"/>
          <w:szCs w:val="30"/>
        </w:rPr>
        <w:t xml:space="preserve">M02 — Policy &amp; Procedure Management</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Lifecycle management for all internal policies, procedures, standards, work instructions, and code of conduct documents. Each policy maps upstream to one or more regulatory obligations and downstream to one or more controls.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FR2.1 Policy lifecycle: Draft → Review → Legal/Compliance approval → Board / ExCo approval (where required) → Publish → Acknowledge → Review (annual or triggered).</w:t>
      </w:r>
    </w:p>
    <w:p>
      <w:pPr>
        <w:pStyle w:val="ListParagraph"/>
        <w:numPr>
          <w:ilvl w:val="0"/>
          <w:numId w:val="2"/>
        </w:numPr>
        <w:spacing w:after="40" w:before="40" w:line="280"/>
      </w:pPr>
      <w:r>
        <w:rPr>
          <w:rFonts w:ascii="Calibri" w:cs="Calibri" w:eastAsia="Calibri" w:hAnsi="Calibri"/>
          <w:color w:val="212121"/>
          <w:sz w:val="22"/>
          <w:szCs w:val="22"/>
        </w:rPr>
        <w:t xml:space="preserve">FR2.2 Each policy version is immutable once published; new versions create a new immutable record.</w:t>
      </w:r>
    </w:p>
    <w:p>
      <w:pPr>
        <w:pStyle w:val="ListParagraph"/>
        <w:numPr>
          <w:ilvl w:val="0"/>
          <w:numId w:val="2"/>
        </w:numPr>
        <w:spacing w:after="40" w:before="40" w:line="280"/>
      </w:pPr>
      <w:r>
        <w:rPr>
          <w:rFonts w:ascii="Calibri" w:cs="Calibri" w:eastAsia="Calibri" w:hAnsi="Calibri"/>
          <w:color w:val="212121"/>
          <w:sz w:val="22"/>
          <w:szCs w:val="22"/>
        </w:rPr>
        <w:t xml:space="preserve">FR2.3 Mandatory annual review cycle with auto-escalation 60, 30, 7 days before expiry.</w:t>
      </w:r>
    </w:p>
    <w:p>
      <w:pPr>
        <w:pStyle w:val="ListParagraph"/>
        <w:numPr>
          <w:ilvl w:val="0"/>
          <w:numId w:val="2"/>
        </w:numPr>
        <w:spacing w:after="40" w:before="40" w:line="280"/>
      </w:pPr>
      <w:r>
        <w:rPr>
          <w:rFonts w:ascii="Calibri" w:cs="Calibri" w:eastAsia="Calibri" w:hAnsi="Calibri"/>
          <w:color w:val="212121"/>
          <w:sz w:val="22"/>
          <w:szCs w:val="22"/>
        </w:rPr>
        <w:t xml:space="preserve">FR2.4 User acknowledgement tracking with completion rate by department.</w:t>
      </w:r>
    </w:p>
    <w:p>
      <w:pPr>
        <w:pStyle w:val="ListParagraph"/>
        <w:numPr>
          <w:ilvl w:val="0"/>
          <w:numId w:val="2"/>
        </w:numPr>
        <w:spacing w:after="40" w:before="40" w:line="280"/>
      </w:pPr>
      <w:r>
        <w:rPr>
          <w:rFonts w:ascii="Calibri" w:cs="Calibri" w:eastAsia="Calibri" w:hAnsi="Calibri"/>
          <w:color w:val="212121"/>
          <w:sz w:val="22"/>
          <w:szCs w:val="22"/>
        </w:rPr>
        <w:t xml:space="preserve">FR2.5 Mapping: Policy ↔ Obligation (N:M), Policy ↔ Control (N:M), Policy ↔ Training Module (N:M).</w:t>
      </w:r>
    </w:p>
    <w:p>
      <w:pPr>
        <w:pStyle w:val="ListParagraph"/>
        <w:numPr>
          <w:ilvl w:val="0"/>
          <w:numId w:val="2"/>
        </w:numPr>
        <w:spacing w:after="40" w:before="40" w:line="280"/>
      </w:pPr>
      <w:r>
        <w:rPr>
          <w:rFonts w:ascii="Calibri" w:cs="Calibri" w:eastAsia="Calibri" w:hAnsi="Calibri"/>
          <w:color w:val="212121"/>
          <w:sz w:val="22"/>
          <w:szCs w:val="22"/>
        </w:rPr>
        <w:t xml:space="preserve">FR2.6 Watermarked PDF export of any policy version.</w:t>
      </w:r>
    </w:p>
    <w:p>
      <w:pPr>
        <w:pStyle w:val="ListParagraph"/>
        <w:numPr>
          <w:ilvl w:val="0"/>
          <w:numId w:val="2"/>
        </w:numPr>
        <w:spacing w:after="40" w:before="40" w:line="280"/>
      </w:pPr>
      <w:r>
        <w:rPr>
          <w:rFonts w:ascii="Calibri" w:cs="Calibri" w:eastAsia="Calibri" w:hAnsi="Calibri"/>
          <w:color w:val="212121"/>
          <w:sz w:val="22"/>
          <w:szCs w:val="22"/>
        </w:rPr>
        <w:t xml:space="preserve">FR2.7 Policy library aligned to local Nigerian standards: AML/CFT/CPF Policy, Sanctions Policy, KYC Policy, Whistleblowing Policy, Code of Conduct, Conflict of Interest Policy, Gifts and Entertainment Policy, Anti-Bribery and Corruption Policy, Outsourcing Policy, Data Protection Policy (NDPA-aligned), Information Security Policy, Business Continuity Policy, Cyber Resilience Policy, Consumer Protection Policy, Complaints Handling Policy, Conduct Risk Policy, Tax Strategy Policy.</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Active Directory / SSO for acknowledgement; HRIS for joiner/mover/leaver workflows.</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AC2.1 Annual review reminders fire reliably; overdue policies surface on CCO dashboard.</w:t>
      </w:r>
    </w:p>
    <w:p>
      <w:pPr>
        <w:pStyle w:val="ListParagraph"/>
        <w:numPr>
          <w:ilvl w:val="0"/>
          <w:numId w:val="2"/>
        </w:numPr>
        <w:spacing w:after="40" w:before="40" w:line="280"/>
      </w:pPr>
      <w:r>
        <w:rPr>
          <w:rFonts w:ascii="Calibri" w:cs="Calibri" w:eastAsia="Calibri" w:hAnsi="Calibri"/>
          <w:color w:val="212121"/>
          <w:sz w:val="22"/>
          <w:szCs w:val="22"/>
        </w:rPr>
        <w:t xml:space="preserve">AC2.2 Acknowledgement completion ≥ 95% within 30 days of publication for in-scope staff.</w:t>
      </w:r>
    </w:p>
    <w:p>
      <w:pPr>
        <w:pStyle w:val="ListParagraph"/>
        <w:numPr>
          <w:ilvl w:val="0"/>
          <w:numId w:val="2"/>
        </w:numPr>
        <w:spacing w:after="40" w:before="40" w:line="280"/>
      </w:pPr>
      <w:r>
        <w:rPr>
          <w:rFonts w:ascii="Calibri" w:cs="Calibri" w:eastAsia="Calibri" w:hAnsi="Calibri"/>
          <w:color w:val="212121"/>
          <w:sz w:val="22"/>
          <w:szCs w:val="22"/>
        </w:rPr>
        <w:t xml:space="preserve">AC2.3 Every policy has at least one upstream obligation and one downstream control.</w:t>
      </w:r>
    </w:p>
    <w:p>
      <w:pPr>
        <w:pStyle w:val="Heading2"/>
        <w:spacing w:after="140" w:before="280"/>
      </w:pPr>
      <w:r>
        <w:rPr>
          <w:rFonts w:ascii="Calibri" w:cs="Calibri" w:eastAsia="Calibri" w:hAnsi="Calibri"/>
          <w:b/>
          <w:bCs/>
          <w:color w:val="1F1F1F"/>
          <w:sz w:val="30"/>
          <w:szCs w:val="30"/>
        </w:rPr>
        <w:t xml:space="preserve">M03 — Obligations Register &amp; Control Mapping</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Breaks each regulatory instrument into discrete, actionable obligations. Each obligation is mapped to a control owner and at least one control.</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FR3.1 An instrument may decompose into many obligations. Example: CBN AML/CFT/CPF Regulation 2022 decomposes into ~120 obligations (CDD on natural persons, CDD on legal persons, EDD on PEPs, ongoing monitoring, record-keeping 5 years, STR filing within 24 hours, training, designation of CCO, etc.).</w:t>
      </w:r>
    </w:p>
    <w:p>
      <w:pPr>
        <w:pStyle w:val="ListParagraph"/>
        <w:numPr>
          <w:ilvl w:val="0"/>
          <w:numId w:val="2"/>
        </w:numPr>
        <w:spacing w:after="40" w:before="40" w:line="280"/>
      </w:pPr>
      <w:r>
        <w:rPr>
          <w:rFonts w:ascii="Calibri" w:cs="Calibri" w:eastAsia="Calibri" w:hAnsi="Calibri"/>
          <w:color w:val="212121"/>
          <w:sz w:val="22"/>
          <w:szCs w:val="22"/>
        </w:rPr>
        <w:t xml:space="preserve">FR3.2 Each obligation has: ID, parent instrument, clause / section reference, statement, frequency (daily / event-driven / monthly / quarterly / annual / on-demand), responsible role, accountable role, consulted, informed (RACI), applicable LOB.</w:t>
      </w:r>
    </w:p>
    <w:p>
      <w:pPr>
        <w:pStyle w:val="ListParagraph"/>
        <w:numPr>
          <w:ilvl w:val="0"/>
          <w:numId w:val="2"/>
        </w:numPr>
        <w:spacing w:after="40" w:before="40" w:line="280"/>
      </w:pPr>
      <w:r>
        <w:rPr>
          <w:rFonts w:ascii="Calibri" w:cs="Calibri" w:eastAsia="Calibri" w:hAnsi="Calibri"/>
          <w:color w:val="212121"/>
          <w:sz w:val="22"/>
          <w:szCs w:val="22"/>
        </w:rPr>
        <w:t xml:space="preserve">FR3.3 Mapping: Obligation ↔ Control (N:M); Obligation ↔ Policy (N:M); Obligation ↔ Regulatory Return (N:M).</w:t>
      </w:r>
    </w:p>
    <w:p>
      <w:pPr>
        <w:pStyle w:val="ListParagraph"/>
        <w:numPr>
          <w:ilvl w:val="0"/>
          <w:numId w:val="2"/>
        </w:numPr>
        <w:spacing w:after="40" w:before="40" w:line="280"/>
      </w:pPr>
      <w:r>
        <w:rPr>
          <w:rFonts w:ascii="Calibri" w:cs="Calibri" w:eastAsia="Calibri" w:hAnsi="Calibri"/>
          <w:color w:val="212121"/>
          <w:sz w:val="22"/>
          <w:szCs w:val="22"/>
        </w:rPr>
        <w:t xml:space="preserve">FR3.4 Obligations Heat Map: visual matrix of obligations × LOB × residual risk.</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Outputs to M04 (RCSA), M05 (Control Testing), M11 (Returns).</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AC3.1 100% of Core / High-rated obligations from Appendix A are mapped to a control owner before Phase-1 go-live.</w:t>
      </w:r>
    </w:p>
    <w:p>
      <w:pPr>
        <w:pStyle w:val="ListParagraph"/>
        <w:numPr>
          <w:ilvl w:val="0"/>
          <w:numId w:val="2"/>
        </w:numPr>
        <w:spacing w:after="40" w:before="40" w:line="280"/>
      </w:pPr>
      <w:r>
        <w:rPr>
          <w:rFonts w:ascii="Calibri" w:cs="Calibri" w:eastAsia="Calibri" w:hAnsi="Calibri"/>
          <w:color w:val="212121"/>
          <w:sz w:val="22"/>
          <w:szCs w:val="22"/>
        </w:rPr>
        <w:t xml:space="preserve">AC3.2 Unmapped obligations surface on the CCO dashboard as a tracked gap.</w:t>
      </w:r>
    </w:p>
    <w:p>
      <w:pPr>
        <w:pStyle w:val="Heading2"/>
        <w:spacing w:after="140" w:before="280"/>
      </w:pPr>
      <w:r>
        <w:rPr>
          <w:rFonts w:ascii="Calibri" w:cs="Calibri" w:eastAsia="Calibri" w:hAnsi="Calibri"/>
          <w:b/>
          <w:bCs/>
          <w:color w:val="1F1F1F"/>
          <w:sz w:val="30"/>
          <w:szCs w:val="30"/>
        </w:rPr>
        <w:t xml:space="preserve">M04 — Risk &amp; Control Self-Assessment / Business Risk Assessment</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Enterprise-wide RCSA and ML/TF/PF Business Risk Assessment (mandated by CBN AML/CFT/CPF Regulation 2022 section 4 and the Money Laundering Act 2022). Supports inherent and residual risk scoring, control effectiveness rating, action plans.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FR4.1 Standard risk taxonomy: Customer risk, Geographic risk, Product/Service risk, Channel risk, Transaction risk, Regulatory risk, Conduct risk, Cyber risk, Data risk, Outsourcing risk, Reputational risk, Strategic risk.</w:t>
      </w:r>
    </w:p>
    <w:p>
      <w:pPr>
        <w:pStyle w:val="ListParagraph"/>
        <w:numPr>
          <w:ilvl w:val="0"/>
          <w:numId w:val="2"/>
        </w:numPr>
        <w:spacing w:after="40" w:before="40" w:line="280"/>
      </w:pPr>
      <w:r>
        <w:rPr>
          <w:rFonts w:ascii="Calibri" w:cs="Calibri" w:eastAsia="Calibri" w:hAnsi="Calibri"/>
          <w:color w:val="212121"/>
          <w:sz w:val="22"/>
          <w:szCs w:val="22"/>
        </w:rPr>
        <w:t xml:space="preserve">FR4.2 5×5 impact-likelihood matrix configurable per institution.</w:t>
      </w:r>
    </w:p>
    <w:p>
      <w:pPr>
        <w:pStyle w:val="ListParagraph"/>
        <w:numPr>
          <w:ilvl w:val="0"/>
          <w:numId w:val="2"/>
        </w:numPr>
        <w:spacing w:after="40" w:before="40" w:line="280"/>
      </w:pPr>
      <w:r>
        <w:rPr>
          <w:rFonts w:ascii="Calibri" w:cs="Calibri" w:eastAsia="Calibri" w:hAnsi="Calibri"/>
          <w:color w:val="212121"/>
          <w:sz w:val="22"/>
          <w:szCs w:val="22"/>
        </w:rPr>
        <w:t xml:space="preserve">FR4.3 BRA on schedule (annual at minimum, event-triggered on new product, new geography, new typology).</w:t>
      </w:r>
    </w:p>
    <w:p>
      <w:pPr>
        <w:pStyle w:val="ListParagraph"/>
        <w:numPr>
          <w:ilvl w:val="0"/>
          <w:numId w:val="2"/>
        </w:numPr>
        <w:spacing w:after="40" w:before="40" w:line="280"/>
      </w:pPr>
      <w:r>
        <w:rPr>
          <w:rFonts w:ascii="Calibri" w:cs="Calibri" w:eastAsia="Calibri" w:hAnsi="Calibri"/>
          <w:color w:val="212121"/>
          <w:sz w:val="22"/>
          <w:szCs w:val="22"/>
        </w:rPr>
        <w:t xml:space="preserve">FR4.4 Methodology documentation tied to FATF Recommendations 1 and 10 and GIABA mutual evaluation criteria.</w:t>
      </w:r>
    </w:p>
    <w:p>
      <w:pPr>
        <w:pStyle w:val="ListParagraph"/>
        <w:numPr>
          <w:ilvl w:val="0"/>
          <w:numId w:val="2"/>
        </w:numPr>
        <w:spacing w:after="40" w:before="40" w:line="280"/>
      </w:pPr>
      <w:r>
        <w:rPr>
          <w:rFonts w:ascii="Calibri" w:cs="Calibri" w:eastAsia="Calibri" w:hAnsi="Calibri"/>
          <w:color w:val="212121"/>
          <w:sz w:val="22"/>
          <w:szCs w:val="22"/>
        </w:rPr>
        <w:t xml:space="preserve">FR4.5 Action plans with owner, due date, dependencies, status, evidence on closure.</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M03 (obligations), M05 (controls), M19 (dashboards), Internal Audit read-only API.</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AC4.1 BRA pack can be produced for NFIU on request within 4 hours.</w:t>
      </w:r>
    </w:p>
    <w:p>
      <w:pPr>
        <w:pStyle w:val="ListParagraph"/>
        <w:numPr>
          <w:ilvl w:val="0"/>
          <w:numId w:val="2"/>
        </w:numPr>
        <w:spacing w:after="40" w:before="40" w:line="280"/>
      </w:pPr>
      <w:r>
        <w:rPr>
          <w:rFonts w:ascii="Calibri" w:cs="Calibri" w:eastAsia="Calibri" w:hAnsi="Calibri"/>
          <w:color w:val="212121"/>
          <w:sz w:val="22"/>
          <w:szCs w:val="22"/>
        </w:rPr>
        <w:t xml:space="preserve">AC4.2 RCSA cycle for any LOB completes within 30 calendar days.</w:t>
      </w:r>
    </w:p>
    <w:p>
      <w:pPr>
        <w:pStyle w:val="Heading2"/>
        <w:spacing w:after="140" w:before="280"/>
      </w:pPr>
      <w:r>
        <w:rPr>
          <w:rFonts w:ascii="Calibri" w:cs="Calibri" w:eastAsia="Calibri" w:hAnsi="Calibri"/>
          <w:b/>
          <w:bCs/>
          <w:color w:val="1F1F1F"/>
          <w:sz w:val="30"/>
          <w:szCs w:val="30"/>
        </w:rPr>
        <w:t xml:space="preserve">M05 — Controls Testing &amp; Continuous Monitoring</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Library of controls (preventive, detective, corrective; manual, automated, semi-automated); testing schedules; sampling methodology; pass/fail recording; remediation tracking. Connects to data sources for continuous controls monitoring.</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FR5.1 Control attributes: ID, name, description, type, frequency, owner, tester (independent), test method (sampling / 100% / KCI / KRI), threshold, last tested, next due, status (Pass / Fail / Partial / Not Tested), evidence.</w:t>
      </w:r>
    </w:p>
    <w:p>
      <w:pPr>
        <w:pStyle w:val="ListParagraph"/>
        <w:numPr>
          <w:ilvl w:val="0"/>
          <w:numId w:val="2"/>
        </w:numPr>
        <w:spacing w:after="40" w:before="40" w:line="280"/>
      </w:pPr>
      <w:r>
        <w:rPr>
          <w:rFonts w:ascii="Calibri" w:cs="Calibri" w:eastAsia="Calibri" w:hAnsi="Calibri"/>
          <w:color w:val="212121"/>
          <w:sz w:val="22"/>
          <w:szCs w:val="22"/>
        </w:rPr>
        <w:t xml:space="preserve">FR5.2 Sampling: configurable methodology (random, judgmental, stratified) with sample size calculator (AICPA / ISA 530 aligned).</w:t>
      </w:r>
    </w:p>
    <w:p>
      <w:pPr>
        <w:pStyle w:val="ListParagraph"/>
        <w:numPr>
          <w:ilvl w:val="0"/>
          <w:numId w:val="2"/>
        </w:numPr>
        <w:spacing w:after="40" w:before="40" w:line="280"/>
      </w:pPr>
      <w:r>
        <w:rPr>
          <w:rFonts w:ascii="Calibri" w:cs="Calibri" w:eastAsia="Calibri" w:hAnsi="Calibri"/>
          <w:color w:val="212121"/>
          <w:sz w:val="22"/>
          <w:szCs w:val="22"/>
        </w:rPr>
        <w:t xml:space="preserve">FR5.3 Continuous Controls Monitoring (CCM): query connectors to Finacle / T24 / Flexcube / TCS BaNCS / Oracle FLEXCUBE Universal Banking / Temenos, to NIBSS BVN service, to the AML engine, to the sanctions engine, to the Core HRIS, to the GL. CCM runs scheduled SQL/API queries and raises exceptions automatically.</w:t>
      </w:r>
    </w:p>
    <w:p>
      <w:pPr>
        <w:pStyle w:val="ListParagraph"/>
        <w:numPr>
          <w:ilvl w:val="0"/>
          <w:numId w:val="2"/>
        </w:numPr>
        <w:spacing w:after="40" w:before="40" w:line="280"/>
      </w:pPr>
      <w:r>
        <w:rPr>
          <w:rFonts w:ascii="Calibri" w:cs="Calibri" w:eastAsia="Calibri" w:hAnsi="Calibri"/>
          <w:color w:val="212121"/>
          <w:sz w:val="22"/>
          <w:szCs w:val="22"/>
        </w:rPr>
        <w:t xml:space="preserve">FR5.4 KCI (Key Control Indicator) and KRI (Key Risk Indicator) dashboards. Examples specific to Nigerian banks: % of accounts with valid BVN, % of high-risk customers reviewed in the last 12 months, FX position vs CBN net open position limit, dormant account ratio, ATM/POS uptime against CBN SLA targets, % of complaints resolved within CBN 14-day SLA, CRR/LRR compliance.</w:t>
      </w:r>
    </w:p>
    <w:p>
      <w:pPr>
        <w:pStyle w:val="ListParagraph"/>
        <w:numPr>
          <w:ilvl w:val="0"/>
          <w:numId w:val="2"/>
        </w:numPr>
        <w:spacing w:after="40" w:before="40" w:line="280"/>
      </w:pPr>
      <w:r>
        <w:rPr>
          <w:rFonts w:ascii="Calibri" w:cs="Calibri" w:eastAsia="Calibri" w:hAnsi="Calibri"/>
          <w:color w:val="212121"/>
          <w:sz w:val="22"/>
          <w:szCs w:val="22"/>
        </w:rPr>
        <w:t xml:space="preserve">FR5.5 Issue management with linkage back to the failing control and the obligation.</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Core banking, AML, sanctions, HRIS, GL, NIBSS, NIMC, CAC; Internal Audit issue tracker.</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AC5.1 Control failure raises a tracked issue within 1 hour of detection.</w:t>
      </w:r>
    </w:p>
    <w:p>
      <w:pPr>
        <w:pStyle w:val="ListParagraph"/>
        <w:numPr>
          <w:ilvl w:val="0"/>
          <w:numId w:val="2"/>
        </w:numPr>
        <w:spacing w:after="40" w:before="40" w:line="280"/>
      </w:pPr>
      <w:r>
        <w:rPr>
          <w:rFonts w:ascii="Calibri" w:cs="Calibri" w:eastAsia="Calibri" w:hAnsi="Calibri"/>
          <w:color w:val="212121"/>
          <w:sz w:val="22"/>
          <w:szCs w:val="22"/>
        </w:rPr>
        <w:t xml:space="preserve">AC5.2 ≥90% of scheduled control tests are completed on time.</w:t>
      </w:r>
    </w:p>
    <w:p>
      <w:pPr>
        <w:pStyle w:val="Heading2"/>
        <w:spacing w:after="140" w:before="280"/>
      </w:pPr>
      <w:r>
        <w:rPr>
          <w:rFonts w:ascii="Calibri" w:cs="Calibri" w:eastAsia="Calibri" w:hAnsi="Calibri"/>
          <w:b/>
          <w:bCs/>
          <w:color w:val="1F1F1F"/>
          <w:sz w:val="30"/>
          <w:szCs w:val="30"/>
        </w:rPr>
        <w:t xml:space="preserve">M06 — KYC &amp; Customer Due Diligence (CDD/EDD/ODD)</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End-to-end customer lifecycle: onboarding (Tier 1 / Tier 2 / Tier 3 accounts per CBN Three-Tiered KYC Regulation), risk scoring, periodic review, enhanced due diligence for PEPs and high-risk, ongoing monitoring, exit.</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FR6.1 Customer types: Natural person (Nigerian / non-Nigerian), Sole Proprietor, Partnership, Limited Liability Company, Public Limited Company, NGO / Incorporated Trustee, Government, Diplomatic Mission, Trust.</w:t>
      </w:r>
    </w:p>
    <w:p>
      <w:pPr>
        <w:pStyle w:val="ListParagraph"/>
        <w:numPr>
          <w:ilvl w:val="0"/>
          <w:numId w:val="2"/>
        </w:numPr>
        <w:spacing w:after="40" w:before="40" w:line="280"/>
      </w:pPr>
      <w:r>
        <w:rPr>
          <w:rFonts w:ascii="Calibri" w:cs="Calibri" w:eastAsia="Calibri" w:hAnsi="Calibri"/>
          <w:color w:val="212121"/>
          <w:sz w:val="22"/>
          <w:szCs w:val="22"/>
        </w:rPr>
        <w:t xml:space="preserve">FR6.2 Tier 1 accounts (CBN guidance): N50,000 single deposit, N300,000 cumulative balance limit — minimum ID, passport photo, address. Tier 2: N100,000 single, N500,000 cumulative — verified ID and address. Tier 3: full KYC, no transaction limits.</w:t>
      </w:r>
    </w:p>
    <w:p>
      <w:pPr>
        <w:pStyle w:val="ListParagraph"/>
        <w:numPr>
          <w:ilvl w:val="0"/>
          <w:numId w:val="2"/>
        </w:numPr>
        <w:spacing w:after="40" w:before="40" w:line="280"/>
      </w:pPr>
      <w:r>
        <w:rPr>
          <w:rFonts w:ascii="Calibri" w:cs="Calibri" w:eastAsia="Calibri" w:hAnsi="Calibri"/>
          <w:color w:val="212121"/>
          <w:sz w:val="22"/>
          <w:szCs w:val="22"/>
        </w:rPr>
        <w:t xml:space="preserve">FR6.3 Mandatory identifiers for Nigerian customers: BVN (CBN BVN Regulatory Framework), NIN (Mandatory Use of NIN Regulations 2017), TIN (FIRS) for corporate entities, CAC registration number for incorporated entities, RC number for companies, BN number for business names.</w:t>
      </w:r>
    </w:p>
    <w:p>
      <w:pPr>
        <w:pStyle w:val="ListParagraph"/>
        <w:numPr>
          <w:ilvl w:val="0"/>
          <w:numId w:val="2"/>
        </w:numPr>
        <w:spacing w:after="40" w:before="40" w:line="280"/>
      </w:pPr>
      <w:r>
        <w:rPr>
          <w:rFonts w:ascii="Calibri" w:cs="Calibri" w:eastAsia="Calibri" w:hAnsi="Calibri"/>
          <w:color w:val="212121"/>
          <w:sz w:val="22"/>
          <w:szCs w:val="22"/>
        </w:rPr>
        <w:t xml:space="preserve">FR6.4 Identity verification: NIBSS BVN service (real-time validate by BVN), NIMC NIN verification, CAC corporate search, FIRS TIN verification, FRSC driver licence verification (where applicable), NIS passport verification.</w:t>
      </w:r>
    </w:p>
    <w:p>
      <w:pPr>
        <w:pStyle w:val="ListParagraph"/>
        <w:numPr>
          <w:ilvl w:val="0"/>
          <w:numId w:val="2"/>
        </w:numPr>
        <w:spacing w:after="40" w:before="40" w:line="280"/>
      </w:pPr>
      <w:r>
        <w:rPr>
          <w:rFonts w:ascii="Calibri" w:cs="Calibri" w:eastAsia="Calibri" w:hAnsi="Calibri"/>
          <w:color w:val="212121"/>
          <w:sz w:val="22"/>
          <w:szCs w:val="22"/>
        </w:rPr>
        <w:t xml:space="preserve">FR6.5 Beneficial Ownership: Persons with Significant Control (PSC) register per CAMA 2020 — 5% threshold; required for legal-person customers; mandatory linkage to CAC PSC submission.</w:t>
      </w:r>
    </w:p>
    <w:p>
      <w:pPr>
        <w:pStyle w:val="ListParagraph"/>
        <w:numPr>
          <w:ilvl w:val="0"/>
          <w:numId w:val="2"/>
        </w:numPr>
        <w:spacing w:after="40" w:before="40" w:line="280"/>
      </w:pPr>
      <w:r>
        <w:rPr>
          <w:rFonts w:ascii="Calibri" w:cs="Calibri" w:eastAsia="Calibri" w:hAnsi="Calibri"/>
          <w:color w:val="212121"/>
          <w:sz w:val="22"/>
          <w:szCs w:val="22"/>
        </w:rPr>
        <w:t xml:space="preserve">FR6.6 Customer Risk Rating (CRR) model: factors include customer type, occupation/sector, geography, product mix, expected transaction profile, PEP status, source-of-funds documentation. Scoring produces Low / Medium / High / Prohibited. Configurable thresholds.</w:t>
      </w:r>
    </w:p>
    <w:p>
      <w:pPr>
        <w:pStyle w:val="ListParagraph"/>
        <w:numPr>
          <w:ilvl w:val="0"/>
          <w:numId w:val="2"/>
        </w:numPr>
        <w:spacing w:after="40" w:before="40" w:line="280"/>
      </w:pPr>
      <w:r>
        <w:rPr>
          <w:rFonts w:ascii="Calibri" w:cs="Calibri" w:eastAsia="Calibri" w:hAnsi="Calibri"/>
          <w:color w:val="212121"/>
          <w:sz w:val="22"/>
          <w:szCs w:val="22"/>
        </w:rPr>
        <w:t xml:space="preserve">FR6.7 Enhanced Due Diligence (EDD) for High and PEP customers: senior management approval, source-of-funds and source-of-wealth documentation, enhanced ongoing monitoring, annual review.</w:t>
      </w:r>
    </w:p>
    <w:p>
      <w:pPr>
        <w:pStyle w:val="ListParagraph"/>
        <w:numPr>
          <w:ilvl w:val="0"/>
          <w:numId w:val="2"/>
        </w:numPr>
        <w:spacing w:after="40" w:before="40" w:line="280"/>
      </w:pPr>
      <w:r>
        <w:rPr>
          <w:rFonts w:ascii="Calibri" w:cs="Calibri" w:eastAsia="Calibri" w:hAnsi="Calibri"/>
          <w:color w:val="212121"/>
          <w:sz w:val="22"/>
          <w:szCs w:val="22"/>
        </w:rPr>
        <w:t xml:space="preserve">FR6.8 Ongoing Due Diligence (ODD): periodic refresh — High annual, Medium every 2 years, Low every 3 years; trigger-based refresh on customer events.</w:t>
      </w:r>
    </w:p>
    <w:p>
      <w:pPr>
        <w:pStyle w:val="ListParagraph"/>
        <w:numPr>
          <w:ilvl w:val="0"/>
          <w:numId w:val="2"/>
        </w:numPr>
        <w:spacing w:after="40" w:before="40" w:line="280"/>
      </w:pPr>
      <w:r>
        <w:rPr>
          <w:rFonts w:ascii="Calibri" w:cs="Calibri" w:eastAsia="Calibri" w:hAnsi="Calibri"/>
          <w:color w:val="212121"/>
          <w:sz w:val="22"/>
          <w:szCs w:val="22"/>
        </w:rPr>
        <w:t xml:space="preserve">FR6.9 Account closure / exit workflow with reason codes (regulatory, risk appetite, customer request, dormant per CBN Operations of Dormant / Unclaimed Funds Guidelines).</w:t>
      </w:r>
    </w:p>
    <w:p>
      <w:pPr>
        <w:pStyle w:val="ListParagraph"/>
        <w:numPr>
          <w:ilvl w:val="0"/>
          <w:numId w:val="2"/>
        </w:numPr>
        <w:spacing w:after="40" w:before="40" w:line="280"/>
      </w:pPr>
      <w:r>
        <w:rPr>
          <w:rFonts w:ascii="Calibri" w:cs="Calibri" w:eastAsia="Calibri" w:hAnsi="Calibri"/>
          <w:color w:val="212121"/>
          <w:sz w:val="22"/>
          <w:szCs w:val="22"/>
        </w:rPr>
        <w:t xml:space="preserve">FR6.10 Tiered KYC for digital / wallet customers (CBN PSP and MMO frameworks).</w:t>
      </w:r>
    </w:p>
    <w:p>
      <w:pPr>
        <w:pStyle w:val="ListParagraph"/>
        <w:numPr>
          <w:ilvl w:val="0"/>
          <w:numId w:val="2"/>
        </w:numPr>
        <w:spacing w:after="40" w:before="40" w:line="280"/>
      </w:pPr>
      <w:r>
        <w:rPr>
          <w:rFonts w:ascii="Calibri" w:cs="Calibri" w:eastAsia="Calibri" w:hAnsi="Calibri"/>
          <w:color w:val="212121"/>
          <w:sz w:val="22"/>
          <w:szCs w:val="22"/>
        </w:rPr>
        <w:t xml:space="preserve">FR6.11 Watch-list screening at onboarding and continuously: NIBSS Industry Watch-list, NFIU sanctions list, Nigeria Sanctions Committee list, UN consolidated, OFAC SDN, EU consolidated, HMT, World-Check, Dow Jones.</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NIBSS BVN (REST), NIMC NIN, CAC search, FIRS TIN, NIS, FRSC; core banking onboarding; sanctions and PEP screening engine (M10); document management.</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AC6.1 Onboarding flow validates BVN + NIN in ≤3 seconds at 95th percentile.</w:t>
      </w:r>
    </w:p>
    <w:p>
      <w:pPr>
        <w:pStyle w:val="ListParagraph"/>
        <w:numPr>
          <w:ilvl w:val="0"/>
          <w:numId w:val="2"/>
        </w:numPr>
        <w:spacing w:after="40" w:before="40" w:line="280"/>
      </w:pPr>
      <w:r>
        <w:rPr>
          <w:rFonts w:ascii="Calibri" w:cs="Calibri" w:eastAsia="Calibri" w:hAnsi="Calibri"/>
          <w:color w:val="212121"/>
          <w:sz w:val="22"/>
          <w:szCs w:val="22"/>
        </w:rPr>
        <w:t xml:space="preserve">AC6.2 No customer can be activated with an unresolved sanctions or PEP hit.</w:t>
      </w:r>
    </w:p>
    <w:p>
      <w:pPr>
        <w:pStyle w:val="ListParagraph"/>
        <w:numPr>
          <w:ilvl w:val="0"/>
          <w:numId w:val="2"/>
        </w:numPr>
        <w:spacing w:after="40" w:before="40" w:line="280"/>
      </w:pPr>
      <w:r>
        <w:rPr>
          <w:rFonts w:ascii="Calibri" w:cs="Calibri" w:eastAsia="Calibri" w:hAnsi="Calibri"/>
          <w:color w:val="212121"/>
          <w:sz w:val="22"/>
          <w:szCs w:val="22"/>
        </w:rPr>
        <w:t xml:space="preserve">AC6.3 Periodic review reminders fire automatically; overdue reviews block high-risk debit transactions.</w:t>
      </w:r>
    </w:p>
    <w:p>
      <w:pPr>
        <w:pStyle w:val="Heading2"/>
        <w:spacing w:after="140" w:before="280"/>
      </w:pPr>
      <w:r>
        <w:rPr>
          <w:rFonts w:ascii="Calibri" w:cs="Calibri" w:eastAsia="Calibri" w:hAnsi="Calibri"/>
          <w:b/>
          <w:bCs/>
          <w:color w:val="1F1F1F"/>
          <w:sz w:val="30"/>
          <w:szCs w:val="30"/>
        </w:rPr>
        <w:t xml:space="preserve">M07 — Sanctions, PEP and Adverse-Media Screening</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Real-time and batch screening of customers, counterparties, beneficial owners, SWIFT messages, payments, trade-finance parties, and employees against consolidated sanctions, PEP and adverse-media lists.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FR7.1 List management: UN (1267, 1988, 1373, 1540, etc.), OFAC SDN and Consolidated, EU Consolidated, HMT, NSC Nigeria Sanctions Committee list, NFIU designations, Interpol Red Notice (where available), local PEP list (curated — President, VP, Ministers, NASS members, Justices, Service Chiefs, Governors, Deputy Governors, State Commissioners, INEC officials, RIA officials, Local Government chairs, traditional rulers of certain ranks, political party leadership, heads of MDAs).</w:t>
      </w:r>
    </w:p>
    <w:p>
      <w:pPr>
        <w:pStyle w:val="ListParagraph"/>
        <w:numPr>
          <w:ilvl w:val="0"/>
          <w:numId w:val="2"/>
        </w:numPr>
        <w:spacing w:after="40" w:before="40" w:line="280"/>
      </w:pPr>
      <w:r>
        <w:rPr>
          <w:rFonts w:ascii="Calibri" w:cs="Calibri" w:eastAsia="Calibri" w:hAnsi="Calibri"/>
          <w:color w:val="212121"/>
          <w:sz w:val="22"/>
          <w:szCs w:val="22"/>
        </w:rPr>
        <w:t xml:space="preserve">FR7.2 Matching algorithms: exact, fuzzy (Levenshtein, Jaro-Winkler), phonetic (Soundex, Metaphone for English; modified phonetics for Yoruba/Hausa/Igbo names), date-of-birth tolerance, address-based discriminator.</w:t>
      </w:r>
    </w:p>
    <w:p>
      <w:pPr>
        <w:pStyle w:val="ListParagraph"/>
        <w:numPr>
          <w:ilvl w:val="0"/>
          <w:numId w:val="2"/>
        </w:numPr>
        <w:spacing w:after="40" w:before="40" w:line="280"/>
      </w:pPr>
      <w:r>
        <w:rPr>
          <w:rFonts w:ascii="Calibri" w:cs="Calibri" w:eastAsia="Calibri" w:hAnsi="Calibri"/>
          <w:color w:val="212121"/>
          <w:sz w:val="22"/>
          <w:szCs w:val="22"/>
        </w:rPr>
        <w:t xml:space="preserve">FR7.3 Real-time screening of payments via API; SLA ≤500ms p95.</w:t>
      </w:r>
    </w:p>
    <w:p>
      <w:pPr>
        <w:pStyle w:val="ListParagraph"/>
        <w:numPr>
          <w:ilvl w:val="0"/>
          <w:numId w:val="2"/>
        </w:numPr>
        <w:spacing w:after="40" w:before="40" w:line="280"/>
      </w:pPr>
      <w:r>
        <w:rPr>
          <w:rFonts w:ascii="Calibri" w:cs="Calibri" w:eastAsia="Calibri" w:hAnsi="Calibri"/>
          <w:color w:val="212121"/>
          <w:sz w:val="22"/>
          <w:szCs w:val="22"/>
        </w:rPr>
        <w:t xml:space="preserve">FR7.4 Batch screening of customer base on list refresh (daily or as published).</w:t>
      </w:r>
    </w:p>
    <w:p>
      <w:pPr>
        <w:pStyle w:val="ListParagraph"/>
        <w:numPr>
          <w:ilvl w:val="0"/>
          <w:numId w:val="2"/>
        </w:numPr>
        <w:spacing w:after="40" w:before="40" w:line="280"/>
      </w:pPr>
      <w:r>
        <w:rPr>
          <w:rFonts w:ascii="Calibri" w:cs="Calibri" w:eastAsia="Calibri" w:hAnsi="Calibri"/>
          <w:color w:val="212121"/>
          <w:sz w:val="22"/>
          <w:szCs w:val="22"/>
        </w:rPr>
        <w:t xml:space="preserve">FR7.5 Alert workbench: hit details, side-by-side compare, four-eyes approval, audit trail.</w:t>
      </w:r>
    </w:p>
    <w:p>
      <w:pPr>
        <w:pStyle w:val="ListParagraph"/>
        <w:numPr>
          <w:ilvl w:val="0"/>
          <w:numId w:val="2"/>
        </w:numPr>
        <w:spacing w:after="40" w:before="40" w:line="280"/>
      </w:pPr>
      <w:r>
        <w:rPr>
          <w:rFonts w:ascii="Calibri" w:cs="Calibri" w:eastAsia="Calibri" w:hAnsi="Calibri"/>
          <w:color w:val="212121"/>
          <w:sz w:val="22"/>
          <w:szCs w:val="22"/>
        </w:rPr>
        <w:t xml:space="preserve">FR7.6 Whitelist with expiry and justification.</w:t>
      </w:r>
    </w:p>
    <w:p>
      <w:pPr>
        <w:pStyle w:val="ListParagraph"/>
        <w:numPr>
          <w:ilvl w:val="0"/>
          <w:numId w:val="2"/>
        </w:numPr>
        <w:spacing w:after="40" w:before="40" w:line="280"/>
      </w:pPr>
      <w:r>
        <w:rPr>
          <w:rFonts w:ascii="Calibri" w:cs="Calibri" w:eastAsia="Calibri" w:hAnsi="Calibri"/>
          <w:color w:val="212121"/>
          <w:sz w:val="22"/>
          <w:szCs w:val="22"/>
        </w:rPr>
        <w:t xml:space="preserve">FR7.7 Reporting: hit volumes, false-positive rates, average closure time, by list, by LOB.</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List vendors (Dow Jones Risk &amp; Compliance, Refinitiv World-Check, LexisNexis, Accuity, NIBSS Watch-list, NFIU designations feed); SWIFT, NIP, RTGS, core banking, card switch.</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AC7.1 Sanctions list refresh within 4 hours of source publication.</w:t>
      </w:r>
    </w:p>
    <w:p>
      <w:pPr>
        <w:pStyle w:val="ListParagraph"/>
        <w:numPr>
          <w:ilvl w:val="0"/>
          <w:numId w:val="2"/>
        </w:numPr>
        <w:spacing w:after="40" w:before="40" w:line="280"/>
      </w:pPr>
      <w:r>
        <w:rPr>
          <w:rFonts w:ascii="Calibri" w:cs="Calibri" w:eastAsia="Calibri" w:hAnsi="Calibri"/>
          <w:color w:val="212121"/>
          <w:sz w:val="22"/>
          <w:szCs w:val="22"/>
        </w:rPr>
        <w:t xml:space="preserve">AC7.2 False-positive rate ≤30%.</w:t>
      </w:r>
    </w:p>
    <w:p>
      <w:pPr>
        <w:pStyle w:val="ListParagraph"/>
        <w:numPr>
          <w:ilvl w:val="0"/>
          <w:numId w:val="2"/>
        </w:numPr>
        <w:spacing w:after="40" w:before="40" w:line="280"/>
      </w:pPr>
      <w:r>
        <w:rPr>
          <w:rFonts w:ascii="Calibri" w:cs="Calibri" w:eastAsia="Calibri" w:hAnsi="Calibri"/>
          <w:color w:val="212121"/>
          <w:sz w:val="22"/>
          <w:szCs w:val="22"/>
        </w:rPr>
        <w:t xml:space="preserve">AC7.3 Zero true positives released without secondary review.</w:t>
      </w:r>
    </w:p>
    <w:p>
      <w:pPr>
        <w:pStyle w:val="Heading2"/>
        <w:spacing w:after="140" w:before="280"/>
      </w:pPr>
      <w:r>
        <w:rPr>
          <w:rFonts w:ascii="Calibri" w:cs="Calibri" w:eastAsia="Calibri" w:hAnsi="Calibri"/>
          <w:b/>
          <w:bCs/>
          <w:color w:val="1F1F1F"/>
          <w:sz w:val="30"/>
          <w:szCs w:val="30"/>
        </w:rPr>
        <w:t xml:space="preserve">M08 — AML Transaction Monitoring</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Rule-based and behavioural transaction monitoring across all customer transactions (cash, transfers, FX, trade finance, cards, digital channels) for ML, TF and PF typologies.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FR8.1 Rule library calibrated to Nigerian typologies: structuring around N5m/N10m CTR thresholds; rapid in-out (pass-through accounts); BDC clustering; FX round-tripping; multiple BVN-linked beneficiaries; PEP-related transfers; high-value cash deposits inconsistent with profile; cash deposits aggregated across branches in a single day; ATM cash-out spikes; cross-border SWIFT to high-risk jurisdictions per FATF and NFIU advisories; betting / gaming concentrations; cryptocurrency-related counterparty patterns (post-CBN Dec-2023 reversal of the 2021 prohibition).</w:t>
      </w:r>
    </w:p>
    <w:p>
      <w:pPr>
        <w:pStyle w:val="ListParagraph"/>
        <w:numPr>
          <w:ilvl w:val="0"/>
          <w:numId w:val="2"/>
        </w:numPr>
        <w:spacing w:after="40" w:before="40" w:line="280"/>
      </w:pPr>
      <w:r>
        <w:rPr>
          <w:rFonts w:ascii="Calibri" w:cs="Calibri" w:eastAsia="Calibri" w:hAnsi="Calibri"/>
          <w:color w:val="212121"/>
          <w:sz w:val="22"/>
          <w:szCs w:val="22"/>
        </w:rPr>
        <w:t xml:space="preserve">FR8.2 Behavioural / peer-group profiling using configurable lookback windows.</w:t>
      </w:r>
    </w:p>
    <w:p>
      <w:pPr>
        <w:pStyle w:val="ListParagraph"/>
        <w:numPr>
          <w:ilvl w:val="0"/>
          <w:numId w:val="2"/>
        </w:numPr>
        <w:spacing w:after="40" w:before="40" w:line="280"/>
      </w:pPr>
      <w:r>
        <w:rPr>
          <w:rFonts w:ascii="Calibri" w:cs="Calibri" w:eastAsia="Calibri" w:hAnsi="Calibri"/>
          <w:color w:val="212121"/>
          <w:sz w:val="22"/>
          <w:szCs w:val="22"/>
        </w:rPr>
        <w:t xml:space="preserve">FR8.3 Alert investigation case management with linkage to customer profile, transactions, prior alerts, prior STRs.</w:t>
      </w:r>
    </w:p>
    <w:p>
      <w:pPr>
        <w:pStyle w:val="ListParagraph"/>
        <w:numPr>
          <w:ilvl w:val="0"/>
          <w:numId w:val="2"/>
        </w:numPr>
        <w:spacing w:after="40" w:before="40" w:line="280"/>
      </w:pPr>
      <w:r>
        <w:rPr>
          <w:rFonts w:ascii="Calibri" w:cs="Calibri" w:eastAsia="Calibri" w:hAnsi="Calibri"/>
          <w:color w:val="212121"/>
          <w:sz w:val="22"/>
          <w:szCs w:val="22"/>
        </w:rPr>
        <w:t xml:space="preserve">FR8.4 Disposition codes; closure with rationale; SAR-able escalation to MLRO.</w:t>
      </w:r>
    </w:p>
    <w:p>
      <w:pPr>
        <w:pStyle w:val="ListParagraph"/>
        <w:numPr>
          <w:ilvl w:val="0"/>
          <w:numId w:val="2"/>
        </w:numPr>
        <w:spacing w:after="40" w:before="40" w:line="280"/>
      </w:pPr>
      <w:r>
        <w:rPr>
          <w:rFonts w:ascii="Calibri" w:cs="Calibri" w:eastAsia="Calibri" w:hAnsi="Calibri"/>
          <w:color w:val="212121"/>
          <w:sz w:val="22"/>
          <w:szCs w:val="22"/>
        </w:rPr>
        <w:t xml:space="preserve">FR8.5 Tuning: thresholds adjustable per LOB, customer segment; backtesting harness; suppression rules.</w:t>
      </w:r>
    </w:p>
    <w:p>
      <w:pPr>
        <w:pStyle w:val="ListParagraph"/>
        <w:numPr>
          <w:ilvl w:val="0"/>
          <w:numId w:val="2"/>
        </w:numPr>
        <w:spacing w:after="40" w:before="40" w:line="280"/>
      </w:pPr>
      <w:r>
        <w:rPr>
          <w:rFonts w:ascii="Calibri" w:cs="Calibri" w:eastAsia="Calibri" w:hAnsi="Calibri"/>
          <w:color w:val="212121"/>
          <w:sz w:val="22"/>
          <w:szCs w:val="22"/>
        </w:rPr>
        <w:t xml:space="preserve">FR8.6 Quality assurance sampling on closed alerts.</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Core banking, payments switch (NIBSS NIP, NEFT, RTGS), card processor, SWIFT, digital banking platforms, BDC subsidiary if any.</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AC8.1 Alert SLA: high-priority within 24 hours, others within 7 days.</w:t>
      </w:r>
    </w:p>
    <w:p>
      <w:pPr>
        <w:pStyle w:val="ListParagraph"/>
        <w:numPr>
          <w:ilvl w:val="0"/>
          <w:numId w:val="2"/>
        </w:numPr>
        <w:spacing w:after="40" w:before="40" w:line="280"/>
      </w:pPr>
      <w:r>
        <w:rPr>
          <w:rFonts w:ascii="Calibri" w:cs="Calibri" w:eastAsia="Calibri" w:hAnsi="Calibri"/>
          <w:color w:val="212121"/>
          <w:sz w:val="22"/>
          <w:szCs w:val="22"/>
        </w:rPr>
        <w:t xml:space="preserve">AC8.2 STR-able alerts feed into M09 without re-entry.</w:t>
      </w:r>
    </w:p>
    <w:p>
      <w:pPr>
        <w:pStyle w:val="Heading2"/>
        <w:spacing w:after="140" w:before="280"/>
      </w:pPr>
      <w:r>
        <w:rPr>
          <w:rFonts w:ascii="Calibri" w:cs="Calibri" w:eastAsia="Calibri" w:hAnsi="Calibri"/>
          <w:b/>
          <w:bCs/>
          <w:color w:val="1F1F1F"/>
          <w:sz w:val="30"/>
          <w:szCs w:val="30"/>
        </w:rPr>
        <w:t xml:space="preserve">M09 — STR / CTR / CDR / SAR — NFIU goAML Reporting</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Drafting, review, approval, submission, acknowledgement and archival of Suspicious Transaction Reports, Currency Transaction Reports, Currency Declaration Reports, and any other report types defined by NFIU.</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FR9.1 STR drafting wizard collecting: subject(s), accounts, transactions, reason for suspicion, typology, supporting documents.</w:t>
      </w:r>
    </w:p>
    <w:p>
      <w:pPr>
        <w:pStyle w:val="ListParagraph"/>
        <w:numPr>
          <w:ilvl w:val="0"/>
          <w:numId w:val="2"/>
        </w:numPr>
        <w:spacing w:after="40" w:before="40" w:line="280"/>
      </w:pPr>
      <w:r>
        <w:rPr>
          <w:rFonts w:ascii="Calibri" w:cs="Calibri" w:eastAsia="Calibri" w:hAnsi="Calibri"/>
          <w:color w:val="212121"/>
          <w:sz w:val="22"/>
          <w:szCs w:val="22"/>
        </w:rPr>
        <w:t xml:space="preserve">FR9.2 Output in NFIU goAML XML schema; validation against XSD pre-submission.</w:t>
      </w:r>
    </w:p>
    <w:p>
      <w:pPr>
        <w:pStyle w:val="ListParagraph"/>
        <w:numPr>
          <w:ilvl w:val="0"/>
          <w:numId w:val="2"/>
        </w:numPr>
        <w:spacing w:after="40" w:before="40" w:line="280"/>
      </w:pPr>
      <w:r>
        <w:rPr>
          <w:rFonts w:ascii="Calibri" w:cs="Calibri" w:eastAsia="Calibri" w:hAnsi="Calibri"/>
          <w:color w:val="212121"/>
          <w:sz w:val="22"/>
          <w:szCs w:val="22"/>
        </w:rPr>
        <w:t xml:space="preserve">FR9.3 Submission to NFIU goAML web service / SFTP; capture acknowledgement and reference number.</w:t>
      </w:r>
    </w:p>
    <w:p>
      <w:pPr>
        <w:pStyle w:val="ListParagraph"/>
        <w:numPr>
          <w:ilvl w:val="0"/>
          <w:numId w:val="2"/>
        </w:numPr>
        <w:spacing w:after="40" w:before="40" w:line="280"/>
      </w:pPr>
      <w:r>
        <w:rPr>
          <w:rFonts w:ascii="Calibri" w:cs="Calibri" w:eastAsia="Calibri" w:hAnsi="Calibri"/>
          <w:color w:val="212121"/>
          <w:sz w:val="22"/>
          <w:szCs w:val="22"/>
        </w:rPr>
        <w:t xml:space="preserve">FR9.4 CTR automation: aggregate cash transactions ≥ N5,000,000 (individual) or N10,000,000 (corporate) in a single transaction or in a series of related transactions within a single day; auto-draft CTRs and submit on the prescribed schedule.</w:t>
      </w:r>
    </w:p>
    <w:p>
      <w:pPr>
        <w:pStyle w:val="ListParagraph"/>
        <w:numPr>
          <w:ilvl w:val="0"/>
          <w:numId w:val="2"/>
        </w:numPr>
        <w:spacing w:after="40" w:before="40" w:line="280"/>
      </w:pPr>
      <w:r>
        <w:rPr>
          <w:rFonts w:ascii="Calibri" w:cs="Calibri" w:eastAsia="Calibri" w:hAnsi="Calibri"/>
          <w:color w:val="212121"/>
          <w:sz w:val="22"/>
          <w:szCs w:val="22"/>
        </w:rPr>
        <w:t xml:space="preserve">FR9.5 CDR: travellers, declaration thresholds (USD 10,000 or equivalent at port of entry); flag to immigration / customs API where required.</w:t>
      </w:r>
    </w:p>
    <w:p>
      <w:pPr>
        <w:pStyle w:val="ListParagraph"/>
        <w:numPr>
          <w:ilvl w:val="0"/>
          <w:numId w:val="2"/>
        </w:numPr>
        <w:spacing w:after="40" w:before="40" w:line="280"/>
      </w:pPr>
      <w:r>
        <w:rPr>
          <w:rFonts w:ascii="Calibri" w:cs="Calibri" w:eastAsia="Calibri" w:hAnsi="Calibri"/>
          <w:color w:val="212121"/>
          <w:sz w:val="22"/>
          <w:szCs w:val="22"/>
        </w:rPr>
        <w:t xml:space="preserve">FR9.6 Tipping-off control: STR data is restricted to MLRO and named investigators; logs every access.</w:t>
      </w:r>
    </w:p>
    <w:p>
      <w:pPr>
        <w:pStyle w:val="ListParagraph"/>
        <w:numPr>
          <w:ilvl w:val="0"/>
          <w:numId w:val="2"/>
        </w:numPr>
        <w:spacing w:after="40" w:before="40" w:line="280"/>
      </w:pPr>
      <w:r>
        <w:rPr>
          <w:rFonts w:ascii="Calibri" w:cs="Calibri" w:eastAsia="Calibri" w:hAnsi="Calibri"/>
          <w:color w:val="212121"/>
          <w:sz w:val="22"/>
          <w:szCs w:val="22"/>
        </w:rPr>
        <w:t xml:space="preserve">FR9.7 Strict retention: minimum 5 years per Money Laundering Act 2022 s 7.</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NFIU goAML XML / web service; SCUML reporting; internal AML engine (M08).</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AC9.1 STR submitted within 24 hours of MLRO sign-off ≥99% of the time.</w:t>
      </w:r>
    </w:p>
    <w:p>
      <w:pPr>
        <w:pStyle w:val="ListParagraph"/>
        <w:numPr>
          <w:ilvl w:val="0"/>
          <w:numId w:val="2"/>
        </w:numPr>
        <w:spacing w:after="40" w:before="40" w:line="280"/>
      </w:pPr>
      <w:r>
        <w:rPr>
          <w:rFonts w:ascii="Calibri" w:cs="Calibri" w:eastAsia="Calibri" w:hAnsi="Calibri"/>
          <w:color w:val="212121"/>
          <w:sz w:val="22"/>
          <w:szCs w:val="22"/>
        </w:rPr>
        <w:t xml:space="preserve">AC9.2 goAML validation passes first time ≥98%.</w:t>
      </w:r>
    </w:p>
    <w:p>
      <w:pPr>
        <w:pStyle w:val="ListParagraph"/>
        <w:numPr>
          <w:ilvl w:val="0"/>
          <w:numId w:val="2"/>
        </w:numPr>
        <w:spacing w:after="40" w:before="40" w:line="280"/>
      </w:pPr>
      <w:r>
        <w:rPr>
          <w:rFonts w:ascii="Calibri" w:cs="Calibri" w:eastAsia="Calibri" w:hAnsi="Calibri"/>
          <w:color w:val="212121"/>
          <w:sz w:val="22"/>
          <w:szCs w:val="22"/>
        </w:rPr>
        <w:t xml:space="preserve">AC9.3 CTRs automatically generated and submitted on schedule; zero missed CTR threshold breaches.</w:t>
      </w:r>
    </w:p>
    <w:p>
      <w:pPr>
        <w:pStyle w:val="Heading2"/>
        <w:spacing w:after="140" w:before="280"/>
      </w:pPr>
      <w:r>
        <w:rPr>
          <w:rFonts w:ascii="Calibri" w:cs="Calibri" w:eastAsia="Calibri" w:hAnsi="Calibri"/>
          <w:b/>
          <w:bCs/>
          <w:color w:val="1F1F1F"/>
          <w:sz w:val="30"/>
          <w:szCs w:val="30"/>
        </w:rPr>
        <w:t xml:space="preserve">M10 — Regulatory Returns Automation</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Configurable engine for generating, validating and submitting periodic returns to CBN, NDIC, SEC, NDPC, FIRS, NAICOM, PenCom and others.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FR10.1 Return catalogue covers (non-exhaustive): CBN eFASS prudential returns (Capital Adequacy Ratio, Liquidity Ratio, Loan Portfolio Classification, Credit Concentration, Insider-Related Credit, FX Exposure, Net Open Position, Interest Rate Risk in Banking Book, Daily Cash Reserve Ratio, Foreign Currency Exposure, Country Risk, Off-Balance Sheet Exposure), CBN FinA returns (financial analysis), CBN RBS returns, FRR financial returns, CBN Consumer Complaints Returns (monthly), CBN Whistleblowing Returns (semi-annual), CBN Compliance Returns to FPRD, NDIC Quarterly Returns, NFIU goAML (M09), SCUML quarterly returns (where applicable), SEC Quarterly Operations Reports, FIRS VAT (monthly), FIRS WHT (monthly), FIRS EMTL (monthly), FIRS CIT (annual), FIRS CRS, NDPC Compliance Audit Returns, NDPC Annual Data Protection Filing, NAICOM Quarterly Returns, PenCom RBS Returns.</w:t>
      </w:r>
    </w:p>
    <w:p>
      <w:pPr>
        <w:pStyle w:val="ListParagraph"/>
        <w:numPr>
          <w:ilvl w:val="0"/>
          <w:numId w:val="2"/>
        </w:numPr>
        <w:spacing w:after="40" w:before="40" w:line="280"/>
      </w:pPr>
      <w:r>
        <w:rPr>
          <w:rFonts w:ascii="Calibri" w:cs="Calibri" w:eastAsia="Calibri" w:hAnsi="Calibri"/>
          <w:color w:val="212121"/>
          <w:sz w:val="22"/>
          <w:szCs w:val="22"/>
        </w:rPr>
        <w:t xml:space="preserve">FR10.2 Each return is defined by a template: data sources, transformations, validations, output format (CSV / XML / proprietary), submission channel (eFASS API, FIRS TaxPro Max, manual upload).</w:t>
      </w:r>
    </w:p>
    <w:p>
      <w:pPr>
        <w:pStyle w:val="ListParagraph"/>
        <w:numPr>
          <w:ilvl w:val="0"/>
          <w:numId w:val="2"/>
        </w:numPr>
        <w:spacing w:after="40" w:before="40" w:line="280"/>
      </w:pPr>
      <w:r>
        <w:rPr>
          <w:rFonts w:ascii="Calibri" w:cs="Calibri" w:eastAsia="Calibri" w:hAnsi="Calibri"/>
          <w:color w:val="212121"/>
          <w:sz w:val="22"/>
          <w:szCs w:val="22"/>
        </w:rPr>
        <w:t xml:space="preserve">FR10.3 Maker / checker / approver workflow with sign-off.</w:t>
      </w:r>
    </w:p>
    <w:p>
      <w:pPr>
        <w:pStyle w:val="ListParagraph"/>
        <w:numPr>
          <w:ilvl w:val="0"/>
          <w:numId w:val="2"/>
        </w:numPr>
        <w:spacing w:after="40" w:before="40" w:line="280"/>
      </w:pPr>
      <w:r>
        <w:rPr>
          <w:rFonts w:ascii="Calibri" w:cs="Calibri" w:eastAsia="Calibri" w:hAnsi="Calibri"/>
          <w:color w:val="212121"/>
          <w:sz w:val="22"/>
          <w:szCs w:val="22"/>
        </w:rPr>
        <w:t xml:space="preserve">FR10.4 Variance analysis vs prior period and vs ledger; auto-flag anomalies.</w:t>
      </w:r>
    </w:p>
    <w:p>
      <w:pPr>
        <w:pStyle w:val="ListParagraph"/>
        <w:numPr>
          <w:ilvl w:val="0"/>
          <w:numId w:val="2"/>
        </w:numPr>
        <w:spacing w:after="40" w:before="40" w:line="280"/>
      </w:pPr>
      <w:r>
        <w:rPr>
          <w:rFonts w:ascii="Calibri" w:cs="Calibri" w:eastAsia="Calibri" w:hAnsi="Calibri"/>
          <w:color w:val="212121"/>
          <w:sz w:val="22"/>
          <w:szCs w:val="22"/>
        </w:rPr>
        <w:t xml:space="preserve">FR10.5 Submission tracker: due date, prepared, reviewed, submitted, acknowledged, accepted.</w:t>
      </w:r>
    </w:p>
    <w:p>
      <w:pPr>
        <w:pStyle w:val="ListParagraph"/>
        <w:numPr>
          <w:ilvl w:val="0"/>
          <w:numId w:val="2"/>
        </w:numPr>
        <w:spacing w:after="40" w:before="40" w:line="280"/>
      </w:pPr>
      <w:r>
        <w:rPr>
          <w:rFonts w:ascii="Calibri" w:cs="Calibri" w:eastAsia="Calibri" w:hAnsi="Calibri"/>
          <w:color w:val="212121"/>
          <w:sz w:val="22"/>
          <w:szCs w:val="22"/>
        </w:rPr>
        <w:t xml:space="preserve">FR10.6 Late-filing alerts with auto-escalation 5 / 3 / 1 days before due date and on T+0 if not submitted.</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Data warehouse / data lake; ledger; eFASS; FinA; FIRS TaxPro Max; NDPC portal; SEC e-portal.</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AC10.1 ≥80% of returns are generated without manual data entry within 6 months.</w:t>
      </w:r>
    </w:p>
    <w:p>
      <w:pPr>
        <w:pStyle w:val="ListParagraph"/>
        <w:numPr>
          <w:ilvl w:val="0"/>
          <w:numId w:val="2"/>
        </w:numPr>
        <w:spacing w:after="40" w:before="40" w:line="280"/>
      </w:pPr>
      <w:r>
        <w:rPr>
          <w:rFonts w:ascii="Calibri" w:cs="Calibri" w:eastAsia="Calibri" w:hAnsi="Calibri"/>
          <w:color w:val="212121"/>
          <w:sz w:val="22"/>
          <w:szCs w:val="22"/>
        </w:rPr>
        <w:t xml:space="preserve">AC10.2 Zero CBN late-filing penalties post go-live.</w:t>
      </w:r>
    </w:p>
    <w:p>
      <w:pPr>
        <w:pStyle w:val="ListParagraph"/>
        <w:numPr>
          <w:ilvl w:val="0"/>
          <w:numId w:val="2"/>
        </w:numPr>
        <w:spacing w:after="40" w:before="40" w:line="280"/>
      </w:pPr>
      <w:r>
        <w:rPr>
          <w:rFonts w:ascii="Calibri" w:cs="Calibri" w:eastAsia="Calibri" w:hAnsi="Calibri"/>
          <w:color w:val="212121"/>
          <w:sz w:val="22"/>
          <w:szCs w:val="22"/>
        </w:rPr>
        <w:t xml:space="preserve">AC10.3 Variance flags require sign-off with rationale before submission.</w:t>
      </w:r>
    </w:p>
    <w:p>
      <w:pPr>
        <w:pStyle w:val="Heading2"/>
        <w:spacing w:after="140" w:before="280"/>
      </w:pPr>
      <w:r>
        <w:rPr>
          <w:rFonts w:ascii="Calibri" w:cs="Calibri" w:eastAsia="Calibri" w:hAnsi="Calibri"/>
          <w:b/>
          <w:bCs/>
          <w:color w:val="1F1F1F"/>
          <w:sz w:val="30"/>
          <w:szCs w:val="30"/>
        </w:rPr>
        <w:t xml:space="preserve">M11 — Consumer Protection &amp; Complaints Management</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End-to-end complaints handling aligned to CBN Consumer Protection Framework 2016, CBN Consumer Protection Regulations 2019, and FCCPA 2018.</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FR11.1 Complaint capture across channels: branch, contact centre, social media, email, NIBSS-Plus dispute, CBN Consumer Protection Department referrals, regulator-routed complaints.</w:t>
      </w:r>
    </w:p>
    <w:p>
      <w:pPr>
        <w:pStyle w:val="ListParagraph"/>
        <w:numPr>
          <w:ilvl w:val="0"/>
          <w:numId w:val="2"/>
        </w:numPr>
        <w:spacing w:after="40" w:before="40" w:line="280"/>
      </w:pPr>
      <w:r>
        <w:rPr>
          <w:rFonts w:ascii="Calibri" w:cs="Calibri" w:eastAsia="Calibri" w:hAnsi="Calibri"/>
          <w:color w:val="212121"/>
          <w:sz w:val="22"/>
          <w:szCs w:val="22"/>
        </w:rPr>
        <w:t xml:space="preserve">FR11.2 Classification taxonomy: ATM, electronic transfer, card, lending, foreign exchange, account maintenance, internet banking, mobile banking, USSD, agent banking, charges and fees, fraud, staff conduct, other.</w:t>
      </w:r>
    </w:p>
    <w:p>
      <w:pPr>
        <w:pStyle w:val="ListParagraph"/>
        <w:numPr>
          <w:ilvl w:val="0"/>
          <w:numId w:val="2"/>
        </w:numPr>
        <w:spacing w:after="40" w:before="40" w:line="280"/>
      </w:pPr>
      <w:r>
        <w:rPr>
          <w:rFonts w:ascii="Calibri" w:cs="Calibri" w:eastAsia="Calibri" w:hAnsi="Calibri"/>
          <w:color w:val="212121"/>
          <w:sz w:val="22"/>
          <w:szCs w:val="22"/>
        </w:rPr>
        <w:t xml:space="preserve">FR11.3 SLA enforcement: acknowledgement within 24 hours, resolution within 14 working days for retail (CBN CPR), escalation to CBN if unresolved after 30 days.</w:t>
      </w:r>
    </w:p>
    <w:p>
      <w:pPr>
        <w:pStyle w:val="ListParagraph"/>
        <w:numPr>
          <w:ilvl w:val="0"/>
          <w:numId w:val="2"/>
        </w:numPr>
        <w:spacing w:after="40" w:before="40" w:line="280"/>
      </w:pPr>
      <w:r>
        <w:rPr>
          <w:rFonts w:ascii="Calibri" w:cs="Calibri" w:eastAsia="Calibri" w:hAnsi="Calibri"/>
          <w:color w:val="212121"/>
          <w:sz w:val="22"/>
          <w:szCs w:val="22"/>
        </w:rPr>
        <w:t xml:space="preserve">FR11.4 Root cause analysis (RCA) and product / process improvement loop.</w:t>
      </w:r>
    </w:p>
    <w:p>
      <w:pPr>
        <w:pStyle w:val="ListParagraph"/>
        <w:numPr>
          <w:ilvl w:val="0"/>
          <w:numId w:val="2"/>
        </w:numPr>
        <w:spacing w:after="40" w:before="40" w:line="280"/>
      </w:pPr>
      <w:r>
        <w:rPr>
          <w:rFonts w:ascii="Calibri" w:cs="Calibri" w:eastAsia="Calibri" w:hAnsi="Calibri"/>
          <w:color w:val="212121"/>
          <w:sz w:val="22"/>
          <w:szCs w:val="22"/>
        </w:rPr>
        <w:t xml:space="preserve">FR11.5 Refund and redress workflow with maker / checker.</w:t>
      </w:r>
    </w:p>
    <w:p>
      <w:pPr>
        <w:pStyle w:val="ListParagraph"/>
        <w:numPr>
          <w:ilvl w:val="0"/>
          <w:numId w:val="2"/>
        </w:numPr>
        <w:spacing w:after="40" w:before="40" w:line="280"/>
      </w:pPr>
      <w:r>
        <w:rPr>
          <w:rFonts w:ascii="Calibri" w:cs="Calibri" w:eastAsia="Calibri" w:hAnsi="Calibri"/>
          <w:color w:val="212121"/>
          <w:sz w:val="22"/>
          <w:szCs w:val="22"/>
        </w:rPr>
        <w:t xml:space="preserve">FR11.6 Monthly Consumer Complaints Report to CBN — auto-generated.</w:t>
      </w:r>
    </w:p>
    <w:p>
      <w:pPr>
        <w:pStyle w:val="ListParagraph"/>
        <w:numPr>
          <w:ilvl w:val="0"/>
          <w:numId w:val="2"/>
        </w:numPr>
        <w:spacing w:after="40" w:before="40" w:line="280"/>
      </w:pPr>
      <w:r>
        <w:rPr>
          <w:rFonts w:ascii="Calibri" w:cs="Calibri" w:eastAsia="Calibri" w:hAnsi="Calibri"/>
          <w:color w:val="212121"/>
          <w:sz w:val="22"/>
          <w:szCs w:val="22"/>
        </w:rPr>
        <w:t xml:space="preserve">FR11.7 FCCPA reportable complaints handled separately with FCCPC submission workflow.</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Contact centre platform; CRM; core banking refund posting; NIBSS dispute resolution platform; CBN complaint portal.</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AC11.1 ≥95% of complaints acknowledged within 24 hours.</w:t>
      </w:r>
    </w:p>
    <w:p>
      <w:pPr>
        <w:pStyle w:val="ListParagraph"/>
        <w:numPr>
          <w:ilvl w:val="0"/>
          <w:numId w:val="2"/>
        </w:numPr>
        <w:spacing w:after="40" w:before="40" w:line="280"/>
      </w:pPr>
      <w:r>
        <w:rPr>
          <w:rFonts w:ascii="Calibri" w:cs="Calibri" w:eastAsia="Calibri" w:hAnsi="Calibri"/>
          <w:color w:val="212121"/>
          <w:sz w:val="22"/>
          <w:szCs w:val="22"/>
        </w:rPr>
        <w:t xml:space="preserve">AC11.2 ≥90% resolved within 14 days.</w:t>
      </w:r>
    </w:p>
    <w:p>
      <w:pPr>
        <w:pStyle w:val="ListParagraph"/>
        <w:numPr>
          <w:ilvl w:val="0"/>
          <w:numId w:val="2"/>
        </w:numPr>
        <w:spacing w:after="40" w:before="40" w:line="280"/>
      </w:pPr>
      <w:r>
        <w:rPr>
          <w:rFonts w:ascii="Calibri" w:cs="Calibri" w:eastAsia="Calibri" w:hAnsi="Calibri"/>
          <w:color w:val="212121"/>
          <w:sz w:val="22"/>
          <w:szCs w:val="22"/>
        </w:rPr>
        <w:t xml:space="preserve">AC11.3 CBN monthly complaints return auto-submitted by working day 5 of the following month.</w:t>
      </w:r>
    </w:p>
    <w:p>
      <w:pPr>
        <w:pStyle w:val="Heading2"/>
        <w:spacing w:after="140" w:before="280"/>
      </w:pPr>
      <w:r>
        <w:rPr>
          <w:rFonts w:ascii="Calibri" w:cs="Calibri" w:eastAsia="Calibri" w:hAnsi="Calibri"/>
          <w:b/>
          <w:bCs/>
          <w:color w:val="1F1F1F"/>
          <w:sz w:val="30"/>
          <w:szCs w:val="30"/>
        </w:rPr>
        <w:t xml:space="preserve">M12 — Data Protection (NDPA 2023) Module</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Tooling for the DPO to discharge obligations under the Nigeria Data Protection Act 2023 and NDPC implementation directives.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FR12.1 Record of Processing Activities (RoPA) for the data controller (the bank) and each data processor, capturing: purpose, lawful basis, categories of data subjects, categories of personal data, recipients, retention period, cross-border transfers, security measures.</w:t>
      </w:r>
    </w:p>
    <w:p>
      <w:pPr>
        <w:pStyle w:val="ListParagraph"/>
        <w:numPr>
          <w:ilvl w:val="0"/>
          <w:numId w:val="2"/>
        </w:numPr>
        <w:spacing w:after="40" w:before="40" w:line="280"/>
      </w:pPr>
      <w:r>
        <w:rPr>
          <w:rFonts w:ascii="Calibri" w:cs="Calibri" w:eastAsia="Calibri" w:hAnsi="Calibri"/>
          <w:color w:val="212121"/>
          <w:sz w:val="22"/>
          <w:szCs w:val="22"/>
        </w:rPr>
        <w:t xml:space="preserve">FR12.2 Data Protection Impact Assessment (DPIA) workflow for high-risk processing (new product launch, profiling, automated decisioning, biometric processing, large-scale processing of vulnerable data subjects).</w:t>
      </w:r>
    </w:p>
    <w:p>
      <w:pPr>
        <w:pStyle w:val="ListParagraph"/>
        <w:numPr>
          <w:ilvl w:val="0"/>
          <w:numId w:val="2"/>
        </w:numPr>
        <w:spacing w:after="40" w:before="40" w:line="280"/>
      </w:pPr>
      <w:r>
        <w:rPr>
          <w:rFonts w:ascii="Calibri" w:cs="Calibri" w:eastAsia="Calibri" w:hAnsi="Calibri"/>
          <w:color w:val="212121"/>
          <w:sz w:val="22"/>
          <w:szCs w:val="22"/>
        </w:rPr>
        <w:t xml:space="preserve">FR12.3 Data subject rights register and SLA tracker for access, rectification, erasure, restriction, portability, objection, automated-decision review.</w:t>
      </w:r>
    </w:p>
    <w:p>
      <w:pPr>
        <w:pStyle w:val="ListParagraph"/>
        <w:numPr>
          <w:ilvl w:val="0"/>
          <w:numId w:val="2"/>
        </w:numPr>
        <w:spacing w:after="40" w:before="40" w:line="280"/>
      </w:pPr>
      <w:r>
        <w:rPr>
          <w:rFonts w:ascii="Calibri" w:cs="Calibri" w:eastAsia="Calibri" w:hAnsi="Calibri"/>
          <w:color w:val="212121"/>
          <w:sz w:val="22"/>
          <w:szCs w:val="22"/>
        </w:rPr>
        <w:t xml:space="preserve">FR12.4 Breach register with classification (confidentiality / integrity / availability), severity, affected data subjects, mitigation, lessons learned, and a 72-hour NDPC notification timer (NDPA section 40).</w:t>
      </w:r>
    </w:p>
    <w:p>
      <w:pPr>
        <w:pStyle w:val="ListParagraph"/>
        <w:numPr>
          <w:ilvl w:val="0"/>
          <w:numId w:val="2"/>
        </w:numPr>
        <w:spacing w:after="40" w:before="40" w:line="280"/>
      </w:pPr>
      <w:r>
        <w:rPr>
          <w:rFonts w:ascii="Calibri" w:cs="Calibri" w:eastAsia="Calibri" w:hAnsi="Calibri"/>
          <w:color w:val="212121"/>
          <w:sz w:val="22"/>
          <w:szCs w:val="22"/>
        </w:rPr>
        <w:t xml:space="preserve">FR12.5 Consent management with granular purpose flags and revocation log.</w:t>
      </w:r>
    </w:p>
    <w:p>
      <w:pPr>
        <w:pStyle w:val="ListParagraph"/>
        <w:numPr>
          <w:ilvl w:val="0"/>
          <w:numId w:val="2"/>
        </w:numPr>
        <w:spacing w:after="40" w:before="40" w:line="280"/>
      </w:pPr>
      <w:r>
        <w:rPr>
          <w:rFonts w:ascii="Calibri" w:cs="Calibri" w:eastAsia="Calibri" w:hAnsi="Calibri"/>
          <w:color w:val="212121"/>
          <w:sz w:val="22"/>
          <w:szCs w:val="22"/>
        </w:rPr>
        <w:t xml:space="preserve">FR12.6 Cross-border transfer assessment under NDPA sections 41–43; Standard Contractual Clauses register; Whitelist of adequate jurisdictions issued by NDPC.</w:t>
      </w:r>
    </w:p>
    <w:p>
      <w:pPr>
        <w:pStyle w:val="ListParagraph"/>
        <w:numPr>
          <w:ilvl w:val="0"/>
          <w:numId w:val="2"/>
        </w:numPr>
        <w:spacing w:after="40" w:before="40" w:line="280"/>
      </w:pPr>
      <w:r>
        <w:rPr>
          <w:rFonts w:ascii="Calibri" w:cs="Calibri" w:eastAsia="Calibri" w:hAnsi="Calibri"/>
          <w:color w:val="212121"/>
          <w:sz w:val="22"/>
          <w:szCs w:val="22"/>
        </w:rPr>
        <w:t xml:space="preserve">FR12.7 Data Protection Compliance Organization (DPCO) audit support — generates the annual NDPC return.</w:t>
      </w:r>
    </w:p>
    <w:p>
      <w:pPr>
        <w:pStyle w:val="ListParagraph"/>
        <w:numPr>
          <w:ilvl w:val="0"/>
          <w:numId w:val="2"/>
        </w:numPr>
        <w:spacing w:after="40" w:before="40" w:line="280"/>
      </w:pPr>
      <w:r>
        <w:rPr>
          <w:rFonts w:ascii="Calibri" w:cs="Calibri" w:eastAsia="Calibri" w:hAnsi="Calibri"/>
          <w:color w:val="212121"/>
          <w:sz w:val="22"/>
          <w:szCs w:val="22"/>
        </w:rPr>
        <w:t xml:space="preserve">FR12.8 Data Processor / Vendor compliance schedule linked to M14 (vendor risk).</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HRIS; CRM; core banking; IDAM; SIEM (breach feed); vendor risk module.</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AC12.1 Breach notification countdown to NDPC starts on classification and surfaces on DPO dashboard.</w:t>
      </w:r>
    </w:p>
    <w:p>
      <w:pPr>
        <w:pStyle w:val="ListParagraph"/>
        <w:numPr>
          <w:ilvl w:val="0"/>
          <w:numId w:val="2"/>
        </w:numPr>
        <w:spacing w:after="40" w:before="40" w:line="280"/>
      </w:pPr>
      <w:r>
        <w:rPr>
          <w:rFonts w:ascii="Calibri" w:cs="Calibri" w:eastAsia="Calibri" w:hAnsi="Calibri"/>
          <w:color w:val="212121"/>
          <w:sz w:val="22"/>
          <w:szCs w:val="22"/>
        </w:rPr>
        <w:t xml:space="preserve">AC12.2 DSR responses within 30 days ≥95% of the time.</w:t>
      </w:r>
    </w:p>
    <w:p>
      <w:pPr>
        <w:pStyle w:val="ListParagraph"/>
        <w:numPr>
          <w:ilvl w:val="0"/>
          <w:numId w:val="2"/>
        </w:numPr>
        <w:spacing w:after="40" w:before="40" w:line="280"/>
      </w:pPr>
      <w:r>
        <w:rPr>
          <w:rFonts w:ascii="Calibri" w:cs="Calibri" w:eastAsia="Calibri" w:hAnsi="Calibri"/>
          <w:color w:val="212121"/>
          <w:sz w:val="22"/>
          <w:szCs w:val="22"/>
        </w:rPr>
        <w:t xml:space="preserve">AC12.3 Annual NDPC return generated automatically with sign-off workflow.</w:t>
      </w:r>
    </w:p>
    <w:p>
      <w:pPr>
        <w:pStyle w:val="Heading2"/>
        <w:spacing w:after="140" w:before="280"/>
      </w:pPr>
      <w:r>
        <w:rPr>
          <w:rFonts w:ascii="Calibri" w:cs="Calibri" w:eastAsia="Calibri" w:hAnsi="Calibri"/>
          <w:b/>
          <w:bCs/>
          <w:color w:val="1F1F1F"/>
          <w:sz w:val="30"/>
          <w:szCs w:val="30"/>
        </w:rPr>
        <w:t xml:space="preserve">M13 — Whistleblowing</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Confidential reporting channel aligned to CBN Guidelines on Whistleblowing for Banks and OFIs 2022 and FRC Nigeria Code of Corporate Governance 2018.</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FR13.1 Multi-channel intake: web form (anonymous option), dedicated phone line, dedicated email, walk-in (logged centrally).</w:t>
      </w:r>
    </w:p>
    <w:p>
      <w:pPr>
        <w:pStyle w:val="ListParagraph"/>
        <w:numPr>
          <w:ilvl w:val="0"/>
          <w:numId w:val="2"/>
        </w:numPr>
        <w:spacing w:after="40" w:before="40" w:line="280"/>
      </w:pPr>
      <w:r>
        <w:rPr>
          <w:rFonts w:ascii="Calibri" w:cs="Calibri" w:eastAsia="Calibri" w:hAnsi="Calibri"/>
          <w:color w:val="212121"/>
          <w:sz w:val="22"/>
          <w:szCs w:val="22"/>
        </w:rPr>
        <w:t xml:space="preserve">FR13.2 Case management with strict access controls — only the Chief Whistleblowing Officer (CWO) and authorised investigators see case content.</w:t>
      </w:r>
    </w:p>
    <w:p>
      <w:pPr>
        <w:pStyle w:val="ListParagraph"/>
        <w:numPr>
          <w:ilvl w:val="0"/>
          <w:numId w:val="2"/>
        </w:numPr>
        <w:spacing w:after="40" w:before="40" w:line="280"/>
      </w:pPr>
      <w:r>
        <w:rPr>
          <w:rFonts w:ascii="Calibri" w:cs="Calibri" w:eastAsia="Calibri" w:hAnsi="Calibri"/>
          <w:color w:val="212121"/>
          <w:sz w:val="22"/>
          <w:szCs w:val="22"/>
        </w:rPr>
        <w:t xml:space="preserve">FR13.3 Anti-retaliation tracking: protected status flag on whistleblower's HR record.</w:t>
      </w:r>
    </w:p>
    <w:p>
      <w:pPr>
        <w:pStyle w:val="ListParagraph"/>
        <w:numPr>
          <w:ilvl w:val="0"/>
          <w:numId w:val="2"/>
        </w:numPr>
        <w:spacing w:after="40" w:before="40" w:line="280"/>
      </w:pPr>
      <w:r>
        <w:rPr>
          <w:rFonts w:ascii="Calibri" w:cs="Calibri" w:eastAsia="Calibri" w:hAnsi="Calibri"/>
          <w:color w:val="212121"/>
          <w:sz w:val="22"/>
          <w:szCs w:val="22"/>
        </w:rPr>
        <w:t xml:space="preserve">FR13.4 Semi-annual return to CBN with anonymised case statistics.</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HRIS (read-only, restricted); external hotline vendor if used.</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AC13.1 Anonymous reports cannot be traced back through the platform.</w:t>
      </w:r>
    </w:p>
    <w:p>
      <w:pPr>
        <w:pStyle w:val="ListParagraph"/>
        <w:numPr>
          <w:ilvl w:val="0"/>
          <w:numId w:val="2"/>
        </w:numPr>
        <w:spacing w:after="40" w:before="40" w:line="280"/>
      </w:pPr>
      <w:r>
        <w:rPr>
          <w:rFonts w:ascii="Calibri" w:cs="Calibri" w:eastAsia="Calibri" w:hAnsi="Calibri"/>
          <w:color w:val="212121"/>
          <w:sz w:val="22"/>
          <w:szCs w:val="22"/>
        </w:rPr>
        <w:t xml:space="preserve">AC13.2 Semi-annual CBN return is auto-prepared.</w:t>
      </w:r>
    </w:p>
    <w:p>
      <w:pPr>
        <w:pStyle w:val="Heading2"/>
        <w:spacing w:after="140" w:before="280"/>
      </w:pPr>
      <w:r>
        <w:rPr>
          <w:rFonts w:ascii="Calibri" w:cs="Calibri" w:eastAsia="Calibri" w:hAnsi="Calibri"/>
          <w:b/>
          <w:bCs/>
          <w:color w:val="1F1F1F"/>
          <w:sz w:val="30"/>
          <w:szCs w:val="30"/>
        </w:rPr>
        <w:t xml:space="preserve">M14 — Vendor / Third-Party Risk Management</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Aligned to CBN Standards for Outsourcing of Banking and OFI Services, NDPA processor obligations, and NIST-style third-party risk.</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FR14.1 Vendor inventory with tiering by criticality.</w:t>
      </w:r>
    </w:p>
    <w:p>
      <w:pPr>
        <w:pStyle w:val="ListParagraph"/>
        <w:numPr>
          <w:ilvl w:val="0"/>
          <w:numId w:val="2"/>
        </w:numPr>
        <w:spacing w:after="40" w:before="40" w:line="280"/>
      </w:pPr>
      <w:r>
        <w:rPr>
          <w:rFonts w:ascii="Calibri" w:cs="Calibri" w:eastAsia="Calibri" w:hAnsi="Calibri"/>
          <w:color w:val="212121"/>
          <w:sz w:val="22"/>
          <w:szCs w:val="22"/>
        </w:rPr>
        <w:t xml:space="preserve">FR14.2 Onboarding due diligence: corporate KYC, sanctions / PEP screening on principals, financial stability, security (ISO 27001 / SOC 2), NDPA processor schedule, business continuity, FX and tax compliance.</w:t>
      </w:r>
    </w:p>
    <w:p>
      <w:pPr>
        <w:pStyle w:val="ListParagraph"/>
        <w:numPr>
          <w:ilvl w:val="0"/>
          <w:numId w:val="2"/>
        </w:numPr>
        <w:spacing w:after="40" w:before="40" w:line="280"/>
      </w:pPr>
      <w:r>
        <w:rPr>
          <w:rFonts w:ascii="Calibri" w:cs="Calibri" w:eastAsia="Calibri" w:hAnsi="Calibri"/>
          <w:color w:val="212121"/>
          <w:sz w:val="22"/>
          <w:szCs w:val="22"/>
        </w:rPr>
        <w:t xml:space="preserve">FR14.3 Contract register with critical clauses (audit rights, data protection, sub-processor consent, exit, regulatory cooperation).</w:t>
      </w:r>
    </w:p>
    <w:p>
      <w:pPr>
        <w:pStyle w:val="ListParagraph"/>
        <w:numPr>
          <w:ilvl w:val="0"/>
          <w:numId w:val="2"/>
        </w:numPr>
        <w:spacing w:after="40" w:before="40" w:line="280"/>
      </w:pPr>
      <w:r>
        <w:rPr>
          <w:rFonts w:ascii="Calibri" w:cs="Calibri" w:eastAsia="Calibri" w:hAnsi="Calibri"/>
          <w:color w:val="212121"/>
          <w:sz w:val="22"/>
          <w:szCs w:val="22"/>
        </w:rPr>
        <w:t xml:space="preserve">FR14.4 Continuous monitoring: adverse news, sanctions list changes, certificate expiries, performance KPIs.</w:t>
      </w:r>
    </w:p>
    <w:p>
      <w:pPr>
        <w:pStyle w:val="ListParagraph"/>
        <w:numPr>
          <w:ilvl w:val="0"/>
          <w:numId w:val="2"/>
        </w:numPr>
        <w:spacing w:after="40" w:before="40" w:line="280"/>
      </w:pPr>
      <w:r>
        <w:rPr>
          <w:rFonts w:ascii="Calibri" w:cs="Calibri" w:eastAsia="Calibri" w:hAnsi="Calibri"/>
          <w:color w:val="212121"/>
          <w:sz w:val="22"/>
          <w:szCs w:val="22"/>
        </w:rPr>
        <w:t xml:space="preserve">FR14.5 Annual reattestation and risk re-rating.</w:t>
      </w:r>
    </w:p>
    <w:p>
      <w:pPr>
        <w:pStyle w:val="ListParagraph"/>
        <w:numPr>
          <w:ilvl w:val="0"/>
          <w:numId w:val="2"/>
        </w:numPr>
        <w:spacing w:after="40" w:before="40" w:line="280"/>
      </w:pPr>
      <w:r>
        <w:rPr>
          <w:rFonts w:ascii="Calibri" w:cs="Calibri" w:eastAsia="Calibri" w:hAnsi="Calibri"/>
          <w:color w:val="212121"/>
          <w:sz w:val="22"/>
          <w:szCs w:val="22"/>
        </w:rPr>
        <w:t xml:space="preserve">FR14.6 CBN material-outsourcing notification workflow (no-objection request).</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Procurement; contract management; sanctions screening; SIEM.</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AC14.1 100% of material vendors have active risk rating and DPA in place.</w:t>
      </w:r>
    </w:p>
    <w:p>
      <w:pPr>
        <w:pStyle w:val="ListParagraph"/>
        <w:numPr>
          <w:ilvl w:val="0"/>
          <w:numId w:val="2"/>
        </w:numPr>
        <w:spacing w:after="40" w:before="40" w:line="280"/>
      </w:pPr>
      <w:r>
        <w:rPr>
          <w:rFonts w:ascii="Calibri" w:cs="Calibri" w:eastAsia="Calibri" w:hAnsi="Calibri"/>
          <w:color w:val="212121"/>
          <w:sz w:val="22"/>
          <w:szCs w:val="22"/>
        </w:rPr>
        <w:t xml:space="preserve">AC14.2 Expiring certificates surface 60 days in advance.</w:t>
      </w:r>
    </w:p>
    <w:p>
      <w:pPr>
        <w:pStyle w:val="Heading2"/>
        <w:spacing w:after="140" w:before="280"/>
      </w:pPr>
      <w:r>
        <w:rPr>
          <w:rFonts w:ascii="Calibri" w:cs="Calibri" w:eastAsia="Calibri" w:hAnsi="Calibri"/>
          <w:b/>
          <w:bCs/>
          <w:color w:val="1F1F1F"/>
          <w:sz w:val="30"/>
          <w:szCs w:val="30"/>
        </w:rPr>
        <w:t xml:space="preserve">M15 — Training, Attestation &amp; Certification</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Manages mandatory training plans, e-learning delivery, attestation tracking, and external certifications for staff in compliance-relevant roles.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FR15.1 Mandatory training curriculum: KYC/AML/CFT/CPF, Sanctions, Anti-Bribery, Conflict of Interest, Code of Conduct, NDPA Awareness, Information Security, Whistleblowing, Conduct Risk, Consumer Protection.</w:t>
      </w:r>
    </w:p>
    <w:p>
      <w:pPr>
        <w:pStyle w:val="ListParagraph"/>
        <w:numPr>
          <w:ilvl w:val="0"/>
          <w:numId w:val="2"/>
        </w:numPr>
        <w:spacing w:after="40" w:before="40" w:line="280"/>
      </w:pPr>
      <w:r>
        <w:rPr>
          <w:rFonts w:ascii="Calibri" w:cs="Calibri" w:eastAsia="Calibri" w:hAnsi="Calibri"/>
          <w:color w:val="212121"/>
          <w:sz w:val="22"/>
          <w:szCs w:val="22"/>
        </w:rPr>
        <w:t xml:space="preserve">FR15.2 Frequency: annual for all staff; pre-deployment for new hires; targeted role-based for MLRO, branch operations, treasury, etc.</w:t>
      </w:r>
    </w:p>
    <w:p>
      <w:pPr>
        <w:pStyle w:val="ListParagraph"/>
        <w:numPr>
          <w:ilvl w:val="0"/>
          <w:numId w:val="2"/>
        </w:numPr>
        <w:spacing w:after="40" w:before="40" w:line="280"/>
      </w:pPr>
      <w:r>
        <w:rPr>
          <w:rFonts w:ascii="Calibri" w:cs="Calibri" w:eastAsia="Calibri" w:hAnsi="Calibri"/>
          <w:color w:val="212121"/>
          <w:sz w:val="22"/>
          <w:szCs w:val="22"/>
        </w:rPr>
        <w:t xml:space="preserve">FR15.3 Attestation tracking with department and LOB drill-down.</w:t>
      </w:r>
    </w:p>
    <w:p>
      <w:pPr>
        <w:pStyle w:val="ListParagraph"/>
        <w:numPr>
          <w:ilvl w:val="0"/>
          <w:numId w:val="2"/>
        </w:numPr>
        <w:spacing w:after="40" w:before="40" w:line="280"/>
      </w:pPr>
      <w:r>
        <w:rPr>
          <w:rFonts w:ascii="Calibri" w:cs="Calibri" w:eastAsia="Calibri" w:hAnsi="Calibri"/>
          <w:color w:val="212121"/>
          <w:sz w:val="22"/>
          <w:szCs w:val="22"/>
        </w:rPr>
        <w:t xml:space="preserve">FR15.4 External certifications register: ACAMS, ACFCS, ICA, ACFE, CIPP/E, CIPM, CISA, CISSP, etc. — with expiry tracking and CPE.</w:t>
      </w:r>
    </w:p>
    <w:p>
      <w:pPr>
        <w:pStyle w:val="ListParagraph"/>
        <w:numPr>
          <w:ilvl w:val="0"/>
          <w:numId w:val="2"/>
        </w:numPr>
        <w:spacing w:after="40" w:before="40" w:line="280"/>
      </w:pPr>
      <w:r>
        <w:rPr>
          <w:rFonts w:ascii="Calibri" w:cs="Calibri" w:eastAsia="Calibri" w:hAnsi="Calibri"/>
          <w:color w:val="212121"/>
          <w:sz w:val="22"/>
          <w:szCs w:val="22"/>
        </w:rPr>
        <w:t xml:space="preserve">FR15.5 Reporting: completion rate to CBN, ExCo and Board.</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LMS (Moodle / Cornerstone / SAP SuccessFactors / internal); HRIS.</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AC15.1 Annual AML refresher completion ≥98%.</w:t>
      </w:r>
    </w:p>
    <w:p>
      <w:pPr>
        <w:pStyle w:val="ListParagraph"/>
        <w:numPr>
          <w:ilvl w:val="0"/>
          <w:numId w:val="2"/>
        </w:numPr>
        <w:spacing w:after="40" w:before="40" w:line="280"/>
      </w:pPr>
      <w:r>
        <w:rPr>
          <w:rFonts w:ascii="Calibri" w:cs="Calibri" w:eastAsia="Calibri" w:hAnsi="Calibri"/>
          <w:color w:val="212121"/>
          <w:sz w:val="22"/>
          <w:szCs w:val="22"/>
        </w:rPr>
        <w:t xml:space="preserve">AC15.2 Outstanding training blocks performance bonus eligibility (per institution policy).</w:t>
      </w:r>
    </w:p>
    <w:p>
      <w:pPr>
        <w:pStyle w:val="Heading2"/>
        <w:spacing w:after="140" w:before="280"/>
      </w:pPr>
      <w:r>
        <w:rPr>
          <w:rFonts w:ascii="Calibri" w:cs="Calibri" w:eastAsia="Calibri" w:hAnsi="Calibri"/>
          <w:b/>
          <w:bCs/>
          <w:color w:val="1F1F1F"/>
          <w:sz w:val="30"/>
          <w:szCs w:val="30"/>
        </w:rPr>
        <w:t xml:space="preserve">M16 — Incident, Breach &amp; Operational-Risk Management</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Records and manages all compliance-, conduct-, financial-crime-, cyber- and data-related incidents through to closure.</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FR16.1 Incident types: AML compliance breach, sanctions breach, KYC failure, mis-selling, conflict of interest, fraud, cyber, data, business continuity, regulatory breach, reputational, conduct.</w:t>
      </w:r>
    </w:p>
    <w:p>
      <w:pPr>
        <w:pStyle w:val="ListParagraph"/>
        <w:numPr>
          <w:ilvl w:val="0"/>
          <w:numId w:val="2"/>
        </w:numPr>
        <w:spacing w:after="40" w:before="40" w:line="280"/>
      </w:pPr>
      <w:r>
        <w:rPr>
          <w:rFonts w:ascii="Calibri" w:cs="Calibri" w:eastAsia="Calibri" w:hAnsi="Calibri"/>
          <w:color w:val="212121"/>
          <w:sz w:val="22"/>
          <w:szCs w:val="22"/>
        </w:rPr>
        <w:t xml:space="preserve">FR16.2 Severity rating with auto-escalation: minor (LOB head), moderate (CCO), major (ExCo), severe (Board Risk and / or regulator notification).</w:t>
      </w:r>
    </w:p>
    <w:p>
      <w:pPr>
        <w:pStyle w:val="ListParagraph"/>
        <w:numPr>
          <w:ilvl w:val="0"/>
          <w:numId w:val="2"/>
        </w:numPr>
        <w:spacing w:after="40" w:before="40" w:line="280"/>
      </w:pPr>
      <w:r>
        <w:rPr>
          <w:rFonts w:ascii="Calibri" w:cs="Calibri" w:eastAsia="Calibri" w:hAnsi="Calibri"/>
          <w:color w:val="212121"/>
          <w:sz w:val="22"/>
          <w:szCs w:val="22"/>
        </w:rPr>
        <w:t xml:space="preserve">FR16.3 Regulator notification workflows: CBN Cyber Threat Intelligence Sharing, CBN Operational Risk Returns, NDPC breach notification (72h), NFIU IF report, EFCC notification of fraud loss.</w:t>
      </w:r>
    </w:p>
    <w:p>
      <w:pPr>
        <w:pStyle w:val="ListParagraph"/>
        <w:numPr>
          <w:ilvl w:val="0"/>
          <w:numId w:val="2"/>
        </w:numPr>
        <w:spacing w:after="40" w:before="40" w:line="280"/>
      </w:pPr>
      <w:r>
        <w:rPr>
          <w:rFonts w:ascii="Calibri" w:cs="Calibri" w:eastAsia="Calibri" w:hAnsi="Calibri"/>
          <w:color w:val="212121"/>
          <w:sz w:val="22"/>
          <w:szCs w:val="22"/>
        </w:rPr>
        <w:t xml:space="preserve">FR16.4 Action plan tracking, lessons-learned register, link back to controls and obligations.</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SIEM, SOC, fraud engine, M12 (data protection), M03 (obligations).</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AC16.1 Severe incidents create regulator notification draft within 30 minutes of severity confirmation.</w:t>
      </w:r>
    </w:p>
    <w:p>
      <w:pPr>
        <w:pStyle w:val="ListParagraph"/>
        <w:numPr>
          <w:ilvl w:val="0"/>
          <w:numId w:val="2"/>
        </w:numPr>
        <w:spacing w:after="40" w:before="40" w:line="280"/>
      </w:pPr>
      <w:r>
        <w:rPr>
          <w:rFonts w:ascii="Calibri" w:cs="Calibri" w:eastAsia="Calibri" w:hAnsi="Calibri"/>
          <w:color w:val="212121"/>
          <w:sz w:val="22"/>
          <w:szCs w:val="22"/>
        </w:rPr>
        <w:t xml:space="preserve">AC16.2 Closed incidents have a documented lesson learned.</w:t>
      </w:r>
    </w:p>
    <w:p>
      <w:pPr>
        <w:pStyle w:val="Heading2"/>
        <w:spacing w:after="140" w:before="280"/>
      </w:pPr>
      <w:r>
        <w:rPr>
          <w:rFonts w:ascii="Calibri" w:cs="Calibri" w:eastAsia="Calibri" w:hAnsi="Calibri"/>
          <w:b/>
          <w:bCs/>
          <w:color w:val="1F1F1F"/>
          <w:sz w:val="30"/>
          <w:szCs w:val="30"/>
        </w:rPr>
        <w:t xml:space="preserve">M17 — Compliance Calendar</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Single calendar of regulatory deadlines (returns, attestations, reviews, BRA, RCSA, board reporting, exam dates, training cycles).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FR17.1 Calendar items auto-derived from the obligations register and the returns catalogue.</w:t>
      </w:r>
    </w:p>
    <w:p>
      <w:pPr>
        <w:pStyle w:val="ListParagraph"/>
        <w:numPr>
          <w:ilvl w:val="0"/>
          <w:numId w:val="2"/>
        </w:numPr>
        <w:spacing w:after="40" w:before="40" w:line="280"/>
      </w:pPr>
      <w:r>
        <w:rPr>
          <w:rFonts w:ascii="Calibri" w:cs="Calibri" w:eastAsia="Calibri" w:hAnsi="Calibri"/>
          <w:color w:val="212121"/>
          <w:sz w:val="22"/>
          <w:szCs w:val="22"/>
        </w:rPr>
        <w:t xml:space="preserve">FR17.2 Personal and team views; ICS feeds for calendar clients.</w:t>
      </w:r>
    </w:p>
    <w:p>
      <w:pPr>
        <w:pStyle w:val="ListParagraph"/>
        <w:numPr>
          <w:ilvl w:val="0"/>
          <w:numId w:val="2"/>
        </w:numPr>
        <w:spacing w:after="40" w:before="40" w:line="280"/>
      </w:pPr>
      <w:r>
        <w:rPr>
          <w:rFonts w:ascii="Calibri" w:cs="Calibri" w:eastAsia="Calibri" w:hAnsi="Calibri"/>
          <w:color w:val="212121"/>
          <w:sz w:val="22"/>
          <w:szCs w:val="22"/>
        </w:rPr>
        <w:t xml:space="preserve">FR17.3 Escalation engine for at-risk and overdue items.</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Outlook / Google Calendar via ICS; mobile push.</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AC17.1 100% of returns deadlines appear on the calendar with at least 30 days lead time.</w:t>
      </w:r>
    </w:p>
    <w:p>
      <w:pPr>
        <w:pStyle w:val="Heading2"/>
        <w:spacing w:after="140" w:before="280"/>
      </w:pPr>
      <w:r>
        <w:rPr>
          <w:rFonts w:ascii="Calibri" w:cs="Calibri" w:eastAsia="Calibri" w:hAnsi="Calibri"/>
          <w:b/>
          <w:bCs/>
          <w:color w:val="1F1F1F"/>
          <w:sz w:val="30"/>
          <w:szCs w:val="30"/>
        </w:rPr>
        <w:t xml:space="preserve">M18 — Dashboards, Board Pack &amp; Regulator Portal</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Role-based dashboards (CCO, MLRO, DPO, LOB Compliance, CRO, CEO, Board), monthly / quarterly board pack auto-generation, and an optional regulator-facing read-only portal (Phase 2).</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FR18.1 CCO dashboard: open regulator queries, overdue controls, AML alert ageing, STR backlog, top risks, returns submission status, complaints SLA, training completion, NDPC breach timer, sanctions hit volume.</w:t>
      </w:r>
    </w:p>
    <w:p>
      <w:pPr>
        <w:pStyle w:val="ListParagraph"/>
        <w:numPr>
          <w:ilvl w:val="0"/>
          <w:numId w:val="2"/>
        </w:numPr>
        <w:spacing w:after="40" w:before="40" w:line="280"/>
      </w:pPr>
      <w:r>
        <w:rPr>
          <w:rFonts w:ascii="Calibri" w:cs="Calibri" w:eastAsia="Calibri" w:hAnsi="Calibri"/>
          <w:color w:val="212121"/>
          <w:sz w:val="22"/>
          <w:szCs w:val="22"/>
        </w:rPr>
        <w:t xml:space="preserve">FR18.2 Board pack: PDF / PPT generation from the data with executive narrative templates and threshold-based commentary.</w:t>
      </w:r>
    </w:p>
    <w:p>
      <w:pPr>
        <w:pStyle w:val="ListParagraph"/>
        <w:numPr>
          <w:ilvl w:val="0"/>
          <w:numId w:val="2"/>
        </w:numPr>
        <w:spacing w:after="40" w:before="40" w:line="280"/>
      </w:pPr>
      <w:r>
        <w:rPr>
          <w:rFonts w:ascii="Calibri" w:cs="Calibri" w:eastAsia="Calibri" w:hAnsi="Calibri"/>
          <w:color w:val="212121"/>
          <w:sz w:val="22"/>
          <w:szCs w:val="22"/>
        </w:rPr>
        <w:t xml:space="preserve">FR18.3 Regulator portal (Phase 2): scoped views for CBN, NDIC, NFIU, NDPC examiners; audit log every view and download.</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All modules; document export library; SSO; regulator portal is hosted in Nigeria.</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AC18.1 Dashboards refresh ≤15 minutes from source change.</w:t>
      </w:r>
    </w:p>
    <w:p>
      <w:pPr>
        <w:pStyle w:val="ListParagraph"/>
        <w:numPr>
          <w:ilvl w:val="0"/>
          <w:numId w:val="2"/>
        </w:numPr>
        <w:spacing w:after="40" w:before="40" w:line="280"/>
      </w:pPr>
      <w:r>
        <w:rPr>
          <w:rFonts w:ascii="Calibri" w:cs="Calibri" w:eastAsia="Calibri" w:hAnsi="Calibri"/>
          <w:color w:val="212121"/>
          <w:sz w:val="22"/>
          <w:szCs w:val="22"/>
        </w:rPr>
        <w:t xml:space="preserve">AC18.2 Board pack assembled in ≤30 minutes by the CCO.</w:t>
      </w:r>
    </w:p>
    <w:p>
      <w:pPr>
        <w:pStyle w:val="Heading2"/>
        <w:spacing w:after="140" w:before="280"/>
      </w:pPr>
      <w:r>
        <w:rPr>
          <w:rFonts w:ascii="Calibri" w:cs="Calibri" w:eastAsia="Calibri" w:hAnsi="Calibri"/>
          <w:b/>
          <w:bCs/>
          <w:color w:val="1F1F1F"/>
          <w:sz w:val="30"/>
          <w:szCs w:val="30"/>
        </w:rPr>
        <w:t xml:space="preserve">M19 — Audit Trail &amp; Evidence Vault</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Tamper-evident store of every action, every approval, every regulatory submission, every document version, with cryptographic chain to support evidentiary integrity.</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FR19.1 Append-only event log with WORM-equivalent storage; hash chain.</w:t>
      </w:r>
    </w:p>
    <w:p>
      <w:pPr>
        <w:pStyle w:val="ListParagraph"/>
        <w:numPr>
          <w:ilvl w:val="0"/>
          <w:numId w:val="2"/>
        </w:numPr>
        <w:spacing w:after="40" w:before="40" w:line="280"/>
      </w:pPr>
      <w:r>
        <w:rPr>
          <w:rFonts w:ascii="Calibri" w:cs="Calibri" w:eastAsia="Calibri" w:hAnsi="Calibri"/>
          <w:color w:val="212121"/>
          <w:sz w:val="22"/>
          <w:szCs w:val="22"/>
        </w:rPr>
        <w:t xml:space="preserve">FR19.2 Configurable retention: minimum 7 years for AML/CFT records (Money Laundering Act s.7), 5 years for tax (FIRS), 10 years for board records.</w:t>
      </w:r>
    </w:p>
    <w:p>
      <w:pPr>
        <w:pStyle w:val="ListParagraph"/>
        <w:numPr>
          <w:ilvl w:val="0"/>
          <w:numId w:val="2"/>
        </w:numPr>
        <w:spacing w:after="40" w:before="40" w:line="280"/>
      </w:pPr>
      <w:r>
        <w:rPr>
          <w:rFonts w:ascii="Calibri" w:cs="Calibri" w:eastAsia="Calibri" w:hAnsi="Calibri"/>
          <w:color w:val="212121"/>
          <w:sz w:val="22"/>
          <w:szCs w:val="22"/>
        </w:rPr>
        <w:t xml:space="preserve">FR19.3 Legal hold workflow for litigation / regulator-driven hold orders.</w:t>
      </w:r>
    </w:p>
    <w:p>
      <w:pPr>
        <w:pStyle w:val="ListParagraph"/>
        <w:numPr>
          <w:ilvl w:val="0"/>
          <w:numId w:val="2"/>
        </w:numPr>
        <w:spacing w:after="40" w:before="40" w:line="280"/>
      </w:pPr>
      <w:r>
        <w:rPr>
          <w:rFonts w:ascii="Calibri" w:cs="Calibri" w:eastAsia="Calibri" w:hAnsi="Calibri"/>
          <w:color w:val="212121"/>
          <w:sz w:val="22"/>
          <w:szCs w:val="22"/>
        </w:rPr>
        <w:t xml:space="preserve">FR19.4 Evidence pack export: select obligation / control / customer / case → produce zipped pack with manifest, hashes, signed PDF index.</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Object store (S3-compatible) hosted in Nigeria; HSM-backed signing keys.</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AC19.1 Evidence pack produced in ≤4 hours.</w:t>
      </w:r>
    </w:p>
    <w:p>
      <w:pPr>
        <w:pStyle w:val="ListParagraph"/>
        <w:numPr>
          <w:ilvl w:val="0"/>
          <w:numId w:val="2"/>
        </w:numPr>
        <w:spacing w:after="40" w:before="40" w:line="280"/>
      </w:pPr>
      <w:r>
        <w:rPr>
          <w:rFonts w:ascii="Calibri" w:cs="Calibri" w:eastAsia="Calibri" w:hAnsi="Calibri"/>
          <w:color w:val="212121"/>
          <w:sz w:val="22"/>
          <w:szCs w:val="22"/>
        </w:rPr>
        <w:t xml:space="preserve">AC19.2 Tamper attempt is detected by the next integrity scan.</w:t>
      </w:r>
    </w:p>
    <w:p>
      <w:pPr>
        <w:pStyle w:val="Heading2"/>
        <w:spacing w:after="140" w:before="280"/>
      </w:pPr>
      <w:r>
        <w:rPr>
          <w:rFonts w:ascii="Calibri" w:cs="Calibri" w:eastAsia="Calibri" w:hAnsi="Calibri"/>
          <w:b/>
          <w:bCs/>
          <w:color w:val="1F1F1F"/>
          <w:sz w:val="30"/>
          <w:szCs w:val="30"/>
        </w:rPr>
        <w:t xml:space="preserve">M20 — FATCA &amp; CRS</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Self-certification, indicia review, classification (US person / reportable, CRS reportable, exempt), and annual filing.</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FR20.1 US-person indicia screening at onboarding and on event triggers.</w:t>
      </w:r>
    </w:p>
    <w:p>
      <w:pPr>
        <w:pStyle w:val="ListParagraph"/>
        <w:numPr>
          <w:ilvl w:val="0"/>
          <w:numId w:val="2"/>
        </w:numPr>
        <w:spacing w:after="40" w:before="40" w:line="280"/>
      </w:pPr>
      <w:r>
        <w:rPr>
          <w:rFonts w:ascii="Calibri" w:cs="Calibri" w:eastAsia="Calibri" w:hAnsi="Calibri"/>
          <w:color w:val="212121"/>
          <w:sz w:val="22"/>
          <w:szCs w:val="22"/>
        </w:rPr>
        <w:t xml:space="preserve">FR20.2 Self-certification forms (W-9 / W-8BEN / W-8BEN-E / CRS).</w:t>
      </w:r>
    </w:p>
    <w:p>
      <w:pPr>
        <w:pStyle w:val="ListParagraph"/>
        <w:numPr>
          <w:ilvl w:val="0"/>
          <w:numId w:val="2"/>
        </w:numPr>
        <w:spacing w:after="40" w:before="40" w:line="280"/>
      </w:pPr>
      <w:r>
        <w:rPr>
          <w:rFonts w:ascii="Calibri" w:cs="Calibri" w:eastAsia="Calibri" w:hAnsi="Calibri"/>
          <w:color w:val="212121"/>
          <w:sz w:val="22"/>
          <w:szCs w:val="22"/>
        </w:rPr>
        <w:t xml:space="preserve">FR20.3 Annual report generation in IRS XML (FATCA) and OECD XML (CRS) for transmission via FIRS to the IRS and partner jurisdictions.</w:t>
      </w:r>
    </w:p>
    <w:p>
      <w:pPr>
        <w:pStyle w:val="ListParagraph"/>
        <w:numPr>
          <w:ilvl w:val="0"/>
          <w:numId w:val="2"/>
        </w:numPr>
        <w:spacing w:after="40" w:before="40" w:line="280"/>
      </w:pPr>
      <w:r>
        <w:rPr>
          <w:rFonts w:ascii="Calibri" w:cs="Calibri" w:eastAsia="Calibri" w:hAnsi="Calibri"/>
          <w:color w:val="212121"/>
          <w:sz w:val="22"/>
          <w:szCs w:val="22"/>
        </w:rPr>
        <w:t xml:space="preserve">FR20.4 Indicia waiver / cure workflow.</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Core banking; FIRS transmission portal.</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AC20.1 Annual FATCA / CRS file passes FIRS validation on first attempt ≥98%.</w:t>
      </w:r>
    </w:p>
    <w:p>
      <w:pPr>
        <w:pStyle w:val="Heading2"/>
        <w:spacing w:after="140" w:before="280"/>
      </w:pPr>
      <w:r>
        <w:rPr>
          <w:rFonts w:ascii="Calibri" w:cs="Calibri" w:eastAsia="Calibri" w:hAnsi="Calibri"/>
          <w:b/>
          <w:bCs/>
          <w:color w:val="1F1F1F"/>
          <w:sz w:val="30"/>
          <w:szCs w:val="30"/>
        </w:rPr>
        <w:t xml:space="preserve">M21 — Tax Compliance Cockpit</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Centralised tracker for VAT, WHT, EMTL, CIT, CGT, Stamp Duty, Tertiary Education Tax, NITDA Levy, NHF, Industrial Training Fund.</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FR21.1 Obligation calendar with filing and payment due dates per FIRS schedule.</w:t>
      </w:r>
    </w:p>
    <w:p>
      <w:pPr>
        <w:pStyle w:val="ListParagraph"/>
        <w:numPr>
          <w:ilvl w:val="0"/>
          <w:numId w:val="2"/>
        </w:numPr>
        <w:spacing w:after="40" w:before="40" w:line="280"/>
      </w:pPr>
      <w:r>
        <w:rPr>
          <w:rFonts w:ascii="Calibri" w:cs="Calibri" w:eastAsia="Calibri" w:hAnsi="Calibri"/>
          <w:color w:val="212121"/>
          <w:sz w:val="22"/>
          <w:szCs w:val="22"/>
        </w:rPr>
        <w:t xml:space="preserve">FR21.2 EMTL automation: N50 per single transfer of ≥N10,000 (per Electronic Money Transfer Levy Regulations 2022) — auto-extract, reconcile and remit.</w:t>
      </w:r>
    </w:p>
    <w:p>
      <w:pPr>
        <w:pStyle w:val="ListParagraph"/>
        <w:numPr>
          <w:ilvl w:val="0"/>
          <w:numId w:val="2"/>
        </w:numPr>
        <w:spacing w:after="40" w:before="40" w:line="280"/>
      </w:pPr>
      <w:r>
        <w:rPr>
          <w:rFonts w:ascii="Calibri" w:cs="Calibri" w:eastAsia="Calibri" w:hAnsi="Calibri"/>
          <w:color w:val="212121"/>
          <w:sz w:val="22"/>
          <w:szCs w:val="22"/>
        </w:rPr>
        <w:t xml:space="preserve">FR21.3 WHT certificate issuance and tracking.</w:t>
      </w:r>
    </w:p>
    <w:p>
      <w:pPr>
        <w:pStyle w:val="ListParagraph"/>
        <w:numPr>
          <w:ilvl w:val="0"/>
          <w:numId w:val="2"/>
        </w:numPr>
        <w:spacing w:after="40" w:before="40" w:line="280"/>
      </w:pPr>
      <w:r>
        <w:rPr>
          <w:rFonts w:ascii="Calibri" w:cs="Calibri" w:eastAsia="Calibri" w:hAnsi="Calibri"/>
          <w:color w:val="212121"/>
          <w:sz w:val="22"/>
          <w:szCs w:val="22"/>
        </w:rPr>
        <w:t xml:space="preserve">FR21.4 FIRS TaxPro Max submission and acknowledgement capture.</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GL; FIRS TaxPro Max; treasury for remittance.</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AC21.1 Zero EMTL penalty incidents (the penalty is 150% of the uncollected levy).</w:t>
      </w:r>
    </w:p>
    <w:p>
      <w:pPr>
        <w:pStyle w:val="Heading2"/>
        <w:spacing w:after="140" w:before="280"/>
      </w:pPr>
      <w:r>
        <w:rPr>
          <w:rFonts w:ascii="Calibri" w:cs="Calibri" w:eastAsia="Calibri" w:hAnsi="Calibri"/>
          <w:b/>
          <w:bCs/>
          <w:color w:val="1F1F1F"/>
          <w:sz w:val="30"/>
          <w:szCs w:val="30"/>
        </w:rPr>
        <w:t xml:space="preserve">M22 — Conduct Surveillance Hooks</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Alert ingestion and case management for market abuse, insider trading, mis-selling, employee personal-account dealing — typically generated by external surveillance engines.</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FR22.1 Standard alert schema; REST and SFTP ingest.</w:t>
      </w:r>
    </w:p>
    <w:p>
      <w:pPr>
        <w:pStyle w:val="ListParagraph"/>
        <w:numPr>
          <w:ilvl w:val="0"/>
          <w:numId w:val="2"/>
        </w:numPr>
        <w:spacing w:after="40" w:before="40" w:line="280"/>
      </w:pPr>
      <w:r>
        <w:rPr>
          <w:rFonts w:ascii="Calibri" w:cs="Calibri" w:eastAsia="Calibri" w:hAnsi="Calibri"/>
          <w:color w:val="212121"/>
          <w:sz w:val="22"/>
          <w:szCs w:val="22"/>
        </w:rPr>
        <w:t xml:space="preserve">FR22.2 Case workbench with link to communications archive (where licensed), trade blotter, employee declaration register.</w:t>
      </w:r>
    </w:p>
    <w:p>
      <w:pPr>
        <w:pStyle w:val="ListParagraph"/>
        <w:numPr>
          <w:ilvl w:val="0"/>
          <w:numId w:val="2"/>
        </w:numPr>
        <w:spacing w:after="40" w:before="40" w:line="280"/>
      </w:pPr>
      <w:r>
        <w:rPr>
          <w:rFonts w:ascii="Calibri" w:cs="Calibri" w:eastAsia="Calibri" w:hAnsi="Calibri"/>
          <w:color w:val="212121"/>
          <w:sz w:val="22"/>
          <w:szCs w:val="22"/>
        </w:rPr>
        <w:t xml:space="preserve">FR22.3 PAD (personal account dealing) declaration workflow per SEC Code.</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Trade surveillance vendor (Nasdaq, NICE Actimize, Eventus); voice / e-comms archive; trade systems.</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AC22.1 Alerts dispositioned within 30 calendar days at the 95th percentile.</w:t>
      </w:r>
    </w:p>
    <w:p>
      <w:pPr>
        <w:pStyle w:val="Heading2"/>
        <w:spacing w:after="140" w:before="280"/>
      </w:pPr>
      <w:r>
        <w:rPr>
          <w:rFonts w:ascii="Calibri" w:cs="Calibri" w:eastAsia="Calibri" w:hAnsi="Calibri"/>
          <w:b/>
          <w:bCs/>
          <w:color w:val="1F1F1F"/>
          <w:sz w:val="30"/>
          <w:szCs w:val="30"/>
        </w:rPr>
        <w:t xml:space="preserve">M23 — Open Banking Compliance</w:t>
      </w:r>
    </w:p>
    <w:p>
      <w:pPr>
        <w:spacing w:after="80" w:before="160"/>
      </w:pPr>
      <w:r>
        <w:rPr>
          <w:rFonts w:ascii="Calibri" w:cs="Calibri" w:eastAsia="Calibri" w:hAnsi="Calibri"/>
          <w:b/>
          <w:bCs/>
          <w:color w:val="333333"/>
          <w:sz w:val="22"/>
          <w:szCs w:val="22"/>
        </w:rPr>
        <w:t xml:space="preserve">Description</w:t>
      </w:r>
    </w:p>
    <w:p>
      <w:pPr>
        <w:spacing w:after="80" w:before="80" w:line="300"/>
        <w:jc w:val="left"/>
      </w:pPr>
      <w:r>
        <w:rPr>
          <w:rFonts w:ascii="Calibri" w:cs="Calibri" w:eastAsia="Calibri" w:hAnsi="Calibri"/>
          <w:b w:val="false"/>
          <w:bCs w:val="false"/>
          <w:i w:val="false"/>
          <w:iCs w:val="false"/>
          <w:color w:val="212121"/>
          <w:sz w:val="22"/>
          <w:szCs w:val="22"/>
        </w:rPr>
        <w:t xml:space="preserve">Tracks compliance with CBN Regulatory Framework for Open Banking 2023 — API standards, customer consent register, partner due diligence, dispute resolution.</w:t>
      </w:r>
    </w:p>
    <w:p>
      <w:pPr>
        <w:spacing w:after="80" w:before="160"/>
      </w:pPr>
      <w:r>
        <w:rPr>
          <w:rFonts w:ascii="Calibri" w:cs="Calibri" w:eastAsia="Calibri" w:hAnsi="Calibri"/>
          <w:b/>
          <w:bCs/>
          <w:color w:val="333333"/>
          <w:sz w:val="22"/>
          <w:szCs w:val="22"/>
        </w:rPr>
        <w:t xml:space="preserve">Functional rules</w:t>
      </w:r>
    </w:p>
    <w:p>
      <w:pPr>
        <w:pStyle w:val="ListParagraph"/>
        <w:numPr>
          <w:ilvl w:val="0"/>
          <w:numId w:val="2"/>
        </w:numPr>
        <w:spacing w:after="40" w:before="40" w:line="280"/>
      </w:pPr>
      <w:r>
        <w:rPr>
          <w:rFonts w:ascii="Calibri" w:cs="Calibri" w:eastAsia="Calibri" w:hAnsi="Calibri"/>
          <w:color w:val="212121"/>
          <w:sz w:val="22"/>
          <w:szCs w:val="22"/>
        </w:rPr>
        <w:t xml:space="preserve">FR23.1 Customer consent register with annual revalidation and 180-day dormancy revocation.</w:t>
      </w:r>
    </w:p>
    <w:p>
      <w:pPr>
        <w:pStyle w:val="ListParagraph"/>
        <w:numPr>
          <w:ilvl w:val="0"/>
          <w:numId w:val="2"/>
        </w:numPr>
        <w:spacing w:after="40" w:before="40" w:line="280"/>
      </w:pPr>
      <w:r>
        <w:rPr>
          <w:rFonts w:ascii="Calibri" w:cs="Calibri" w:eastAsia="Calibri" w:hAnsi="Calibri"/>
          <w:color w:val="212121"/>
          <w:sz w:val="22"/>
          <w:szCs w:val="22"/>
        </w:rPr>
        <w:t xml:space="preserve">FR23.2 Open Banking partner inventory linked to vendor risk (M14).</w:t>
      </w:r>
    </w:p>
    <w:p>
      <w:pPr>
        <w:pStyle w:val="ListParagraph"/>
        <w:numPr>
          <w:ilvl w:val="0"/>
          <w:numId w:val="2"/>
        </w:numPr>
        <w:spacing w:after="40" w:before="40" w:line="280"/>
      </w:pPr>
      <w:r>
        <w:rPr>
          <w:rFonts w:ascii="Calibri" w:cs="Calibri" w:eastAsia="Calibri" w:hAnsi="Calibri"/>
          <w:color w:val="212121"/>
          <w:sz w:val="22"/>
          <w:szCs w:val="22"/>
        </w:rPr>
        <w:t xml:space="preserve">FR23.3 API audit log of every open-banking call.</w:t>
      </w:r>
    </w:p>
    <w:p>
      <w:pPr>
        <w:spacing w:after="80" w:before="160"/>
      </w:pPr>
      <w:r>
        <w:rPr>
          <w:rFonts w:ascii="Calibri" w:cs="Calibri" w:eastAsia="Calibri" w:hAnsi="Calibri"/>
          <w:b/>
          <w:bCs/>
          <w:color w:val="333333"/>
          <w:sz w:val="22"/>
          <w:szCs w:val="22"/>
        </w:rPr>
        <w:t xml:space="preserve">Integrations</w:t>
      </w:r>
    </w:p>
    <w:p>
      <w:pPr>
        <w:spacing w:after="80" w:before="80" w:line="300"/>
        <w:jc w:val="left"/>
      </w:pPr>
      <w:r>
        <w:rPr>
          <w:rFonts w:ascii="Calibri" w:cs="Calibri" w:eastAsia="Calibri" w:hAnsi="Calibri"/>
          <w:b w:val="false"/>
          <w:bCs w:val="false"/>
          <w:i w:val="false"/>
          <w:iCs w:val="false"/>
          <w:color w:val="212121"/>
          <w:sz w:val="22"/>
          <w:szCs w:val="22"/>
        </w:rPr>
        <w:t xml:space="preserve">Open Banking API gateway; CBN Open Banking Registry.</w:t>
      </w:r>
    </w:p>
    <w:p>
      <w:pPr>
        <w:spacing w:after="80" w:before="160"/>
      </w:pPr>
      <w:r>
        <w:rPr>
          <w:rFonts w:ascii="Calibri" w:cs="Calibri" w:eastAsia="Calibri" w:hAnsi="Calibri"/>
          <w:b/>
          <w:bCs/>
          <w:color w:val="333333"/>
          <w:sz w:val="22"/>
          <w:szCs w:val="22"/>
        </w:rPr>
        <w:t xml:space="preserve">Acceptance criteria</w:t>
      </w:r>
    </w:p>
    <w:p>
      <w:pPr>
        <w:pStyle w:val="ListParagraph"/>
        <w:numPr>
          <w:ilvl w:val="0"/>
          <w:numId w:val="2"/>
        </w:numPr>
        <w:spacing w:after="40" w:before="40" w:line="280"/>
      </w:pPr>
      <w:r>
        <w:rPr>
          <w:rFonts w:ascii="Calibri" w:cs="Calibri" w:eastAsia="Calibri" w:hAnsi="Calibri"/>
          <w:color w:val="212121"/>
          <w:sz w:val="22"/>
          <w:szCs w:val="22"/>
        </w:rPr>
        <w:t xml:space="preserve">AC23.1 No customer consent is older than 12 months without revalidation.</w:t>
      </w:r>
    </w:p>
    <w:p>
      <w:pPr>
        <w:pStyle w:val="Heading1"/>
        <w:pageBreakBefore/>
        <w:spacing w:after="200" w:before="360"/>
      </w:pPr>
      <w:r>
        <w:rPr>
          <w:rFonts w:ascii="Calibri" w:cs="Calibri" w:eastAsia="Calibri" w:hAnsi="Calibri"/>
          <w:b/>
          <w:bCs/>
          <w:color w:val="C8102E"/>
          <w:sz w:val="40"/>
          <w:szCs w:val="40"/>
        </w:rPr>
        <w:t xml:space="preserve">9. Non-Functional Requirements</w:t>
      </w:r>
    </w:p>
    <w:p>
      <w:pPr>
        <w:spacing w:after="80" w:before="80" w:line="300"/>
        <w:jc w:val="left"/>
      </w:pPr>
      <w:r>
        <w:rPr>
          <w:rFonts w:ascii="Calibri" w:cs="Calibri" w:eastAsia="Calibri" w:hAnsi="Calibri"/>
          <w:b w:val="false"/>
          <w:bCs w:val="false"/>
          <w:i w:val="false"/>
          <w:iCs w:val="false"/>
          <w:color w:val="212121"/>
          <w:sz w:val="22"/>
          <w:szCs w:val="22"/>
        </w:rPr>
        <w:t xml:space="preserve">The platform shall meet or exceed the following non-functional requirements at general availability. Each NFR is testable; deviations require CCO and CISO joint approval and a documented compensating control.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6260"/>
      </w:tblGrid>
      <w:tr>
        <w:trPr>
          <w:tblHeader/>
        </w:trPr>
        <w:tc>
          <w:tcPr>
            <w:tcW w:type="dxa" w:w="13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ID</w:t>
            </w:r>
          </w:p>
        </w:tc>
        <w:tc>
          <w:tcPr>
            <w:tcW w:type="dxa" w:w="18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Category</w:t>
            </w:r>
          </w:p>
        </w:tc>
        <w:tc>
          <w:tcPr>
            <w:tcW w:type="dxa" w:w="62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NFR-PRF-01</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Performance — UI</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Page load p95 ≤2s on 2G/3G with progressive enhancement; p95 ≤800ms on broadband. Search results ≤2s across 5M obligations / control / evidence records.</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NFR-PRF-02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Performance — Screening</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Real-time sanctions screening p95 ≤500ms per name; batch 1M names ≤4 hours.</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NFR-PRF-03</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Throughput — Transaction Monitoring</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≥5,000 transactions per second sustained; burst to 20,000 TPS during NIP peak windows.</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NFR-SCL-01</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Scalability</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Horizontally scalable stateless services; PostgreSQL primary with read replicas; Kafka or equivalent for event streams.</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NFR-AVL-01</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Availability</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≥99.9% in business hours (08:00–18:00 WAT); ≥99.5% 24×7. Planned downtime windows must be coordinated with the CBN-mandated maintenance schedule.</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NFR-DR-01</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Disaster Recovery</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Active-active across two Nigerian data centres (Lagos primary, Abuja secondary). RTO ≤4 hours, RPO ≤15 minutes. Annual DR drill with NDIC observer permitted.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NFR-SEC-01</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Security — Standards</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ISO 27001; PCI-DSS where card data is in scope; CBN Cybersecurity Framework for DMBs and PSBs 2022; NDPA technical and organisational measures; NIST CSF 2.0 alignment.</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NFR-SEC-02</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Security — Identity</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SSO with SAML 2.0 / OIDC; MFA mandatory for all privileged roles; role separation enforced (no MLRO can be CCO of the same scope).</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NFR-SEC-03</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Security — Cryptography</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TLS 1.3 in transit; AES-256 at rest with KMS-managed keys; HSM-backed root keys (CBN Cybersecurity Framework requirement); cryptographic agility for upgrade to PQC.</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NFR-SEC-04</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Security — Audit</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Every action attributable to an authenticated principal; non-repudiation via signed audit log; SOC 2 Type II within 18 months of go-live.</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NFR-SEC-05</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Penetration Testing</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Independent VAPT annually and on material changes; remediation SLA: critical 7 days, high 30 days, medium 90 days.</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NFR-DAT-01</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residency</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Customer personal data and transaction data stored in Nigeria. Limited offshore processing only where lawful under NDPA cross-border transfer rules; with NDPC-approved SCCs.</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NFR-DAT-02</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retention</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AML records 7 years (Money Laundering Act 2022 s.7); tax records 6 years (FIRS); board records 10 years; data-subject records per NDPA retention principle.</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NFR-LOC-01</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Localisation</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UI in English; secondary support for Hausa, Yoruba, Igbo and Pidgin for consumer-facing screens; date format dd/mm/yyyy; Naira as default currency with two-decimal precision; phone-number validation for +234 format and 0-prefixed local format.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NFR-ACC-01</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Accessibility</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WCAG 2.2 AA conformance.</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NFR-INT-01</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Interoperability</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RESTful JSON APIs with OpenAPI 3.1; webhooks; SFTP for legacy returns; SOAP only where regulator requires (e.g., legacy CBN endpoints).</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NFR-UPG-01</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Upgrades</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Zero-downtime deployments via blue-green; semantic versioning; deprecation policy ≥6 months for API breaking changes.</w:t>
            </w:r>
          </w:p>
        </w:tc>
      </w:tr>
      <w:tr>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NFR-OBS-01</w:t>
            </w:r>
          </w:p>
        </w:tc>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Observability</w:t>
            </w:r>
          </w:p>
        </w:tc>
        <w:tc>
          <w:tcPr>
            <w:tcW w:type="dxa" w:w="62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OpenTelemetry traces, metrics, logs; SIEM forwarding; business KPI metrics exported to the bank's enterprise monitoring.</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NFR-LIC-01</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Licensing</w:t>
            </w:r>
          </w:p>
        </w:tc>
        <w:tc>
          <w:tcPr>
            <w:tcW w:type="dxa" w:w="62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Per-named-user with separate API-call entitlements; on-premise vs SaaS choice; clear pricing for Tier-1 / Tier-2 / MFB / PSB tiers.</w:t>
            </w:r>
          </w:p>
        </w:tc>
      </w:tr>
    </w:tbl>
    <w:p>
      <w:pPr>
        <w:pStyle w:val="Heading1"/>
        <w:pageBreakBefore/>
        <w:spacing w:after="200" w:before="360"/>
      </w:pPr>
      <w:r>
        <w:rPr>
          <w:rFonts w:ascii="Calibri" w:cs="Calibri" w:eastAsia="Calibri" w:hAnsi="Calibri"/>
          <w:b/>
          <w:bCs/>
          <w:color w:val="C8102E"/>
          <w:sz w:val="40"/>
          <w:szCs w:val="40"/>
        </w:rPr>
        <w:t xml:space="preserve">10. Security, Privacy &amp; Cyber Resilience</w:t>
      </w:r>
    </w:p>
    <w:p>
      <w:pPr>
        <w:spacing w:after="80" w:before="80" w:line="300"/>
        <w:jc w:val="left"/>
      </w:pPr>
      <w:r>
        <w:rPr>
          <w:rFonts w:ascii="Calibri" w:cs="Calibri" w:eastAsia="Calibri" w:hAnsi="Calibri"/>
          <w:b w:val="false"/>
          <w:bCs w:val="false"/>
          <w:i w:val="false"/>
          <w:iCs w:val="false"/>
          <w:color w:val="212121"/>
          <w:sz w:val="22"/>
          <w:szCs w:val="22"/>
        </w:rPr>
        <w:t xml:space="preserve">Security and privacy are anchored to the CBN Cybersecurity Framework for DMBs and PSBs, the NDPA 2023 and NDPC implementation directives, and globally accepted standards (ISO 27001, NIST CSF 2.0). The controls below complement the NFRs in Section 9.</w:t>
      </w:r>
    </w:p>
    <w:p>
      <w:pPr>
        <w:pStyle w:val="ListParagraph"/>
        <w:numPr>
          <w:ilvl w:val="0"/>
          <w:numId w:val="2"/>
        </w:numPr>
        <w:spacing w:after="40" w:before="40" w:line="280"/>
      </w:pPr>
      <w:r>
        <w:rPr>
          <w:rFonts w:ascii="Calibri" w:cs="Calibri" w:eastAsia="Calibri" w:hAnsi="Calibri"/>
          <w:color w:val="212121"/>
          <w:sz w:val="22"/>
          <w:szCs w:val="22"/>
        </w:rPr>
        <w:t xml:space="preserve">Identity: Integration with the bank's IDAM (Active Directory, Azure AD / Entra, Okta or ForgeRock). SAML 2.0 and OIDC for SSO. MFA required for all users; hardware-token or FIDO2 for privileged roles (CCO, MLRO, DPO, CWO, sys-admin). Just-in-time elevation for admin functions with auto-revoke and recording.</w:t>
      </w:r>
    </w:p>
    <w:p>
      <w:pPr>
        <w:pStyle w:val="ListParagraph"/>
        <w:numPr>
          <w:ilvl w:val="0"/>
          <w:numId w:val="2"/>
        </w:numPr>
        <w:spacing w:after="40" w:before="40" w:line="280"/>
      </w:pPr>
      <w:r>
        <w:rPr>
          <w:rFonts w:ascii="Calibri" w:cs="Calibri" w:eastAsia="Calibri" w:hAnsi="Calibri"/>
          <w:color w:val="212121"/>
          <w:sz w:val="22"/>
          <w:szCs w:val="22"/>
        </w:rPr>
        <w:t xml:space="preserve">Authorisation: Role-based access control with attribute overlays (jurisdiction, branch, LOB). Segregation of duties enforced. MLRO must approve own department's STR submissions; CCO countersigns above defined materiality. Four-eyes for any list-management change.</w:t>
      </w:r>
    </w:p>
    <w:p>
      <w:pPr>
        <w:pStyle w:val="ListParagraph"/>
        <w:numPr>
          <w:ilvl w:val="0"/>
          <w:numId w:val="2"/>
        </w:numPr>
        <w:spacing w:after="40" w:before="40" w:line="280"/>
      </w:pPr>
      <w:r>
        <w:rPr>
          <w:rFonts w:ascii="Calibri" w:cs="Calibri" w:eastAsia="Calibri" w:hAnsi="Calibri"/>
          <w:color w:val="212121"/>
          <w:sz w:val="22"/>
          <w:szCs w:val="22"/>
        </w:rPr>
        <w:t xml:space="preserve">Data classification: Tags propagate through the data model — Public, Internal, Confidential, Restricted (e.g., STR content). Restricted-tagged data has separate encryption keys and minimum-privilege controls.</w:t>
      </w:r>
    </w:p>
    <w:p>
      <w:pPr>
        <w:pStyle w:val="ListParagraph"/>
        <w:numPr>
          <w:ilvl w:val="0"/>
          <w:numId w:val="2"/>
        </w:numPr>
        <w:spacing w:after="40" w:before="40" w:line="280"/>
      </w:pPr>
      <w:r>
        <w:rPr>
          <w:rFonts w:ascii="Calibri" w:cs="Calibri" w:eastAsia="Calibri" w:hAnsi="Calibri"/>
          <w:color w:val="212121"/>
          <w:sz w:val="22"/>
          <w:szCs w:val="22"/>
        </w:rPr>
        <w:t xml:space="preserve">Encryption: TLS 1.3 minimum on every connection. Mutual TLS between platform and external regulator endpoints (eFASS, goAML). At rest, AES-256-GCM. Database column-level encryption for BVN, NIN, account numbers, passport, NIN photo, biometric data. Key management via HSM (FIPS 140-2 Level 3 minimum).</w:t>
      </w:r>
    </w:p>
    <w:p>
      <w:pPr>
        <w:pStyle w:val="ListParagraph"/>
        <w:numPr>
          <w:ilvl w:val="0"/>
          <w:numId w:val="2"/>
        </w:numPr>
        <w:spacing w:after="40" w:before="40" w:line="280"/>
      </w:pPr>
      <w:r>
        <w:rPr>
          <w:rFonts w:ascii="Calibri" w:cs="Calibri" w:eastAsia="Calibri" w:hAnsi="Calibri"/>
          <w:color w:val="212121"/>
          <w:sz w:val="22"/>
          <w:szCs w:val="22"/>
        </w:rPr>
        <w:t xml:space="preserve">Network: Zero-trust design. East-west traffic mTLS. Egress restricted to allow-listed regulator endpoints and vendor APIs. WAF in front of every external interface. DDoS protection at the edge.</w:t>
      </w:r>
    </w:p>
    <w:p>
      <w:pPr>
        <w:pStyle w:val="ListParagraph"/>
        <w:numPr>
          <w:ilvl w:val="0"/>
          <w:numId w:val="2"/>
        </w:numPr>
        <w:spacing w:after="40" w:before="40" w:line="280"/>
      </w:pPr>
      <w:r>
        <w:rPr>
          <w:rFonts w:ascii="Calibri" w:cs="Calibri" w:eastAsia="Calibri" w:hAnsi="Calibri"/>
          <w:color w:val="212121"/>
          <w:sz w:val="22"/>
          <w:szCs w:val="22"/>
        </w:rPr>
        <w:t xml:space="preserve">Cyber Resilience (CBN Framework): Threat-intelligence-led cyber resilience testing every 18 months; alignment with CBEST-style methodology adapted for Nigeria; incident-response runbooks tested quarterly; ransomware recovery scenario exercised annually.</w:t>
      </w:r>
    </w:p>
    <w:p>
      <w:pPr>
        <w:pStyle w:val="ListParagraph"/>
        <w:numPr>
          <w:ilvl w:val="0"/>
          <w:numId w:val="2"/>
        </w:numPr>
        <w:spacing w:after="40" w:before="40" w:line="280"/>
      </w:pPr>
      <w:r>
        <w:rPr>
          <w:rFonts w:ascii="Calibri" w:cs="Calibri" w:eastAsia="Calibri" w:hAnsi="Calibri"/>
          <w:color w:val="212121"/>
          <w:sz w:val="22"/>
          <w:szCs w:val="22"/>
        </w:rPr>
        <w:t xml:space="preserve">NDPA compliance for the platform itself: documented lawful basis for processing each category of personal data; DPIA on the platform deployment; processor obligations cascaded to sub-processors; privacy-by-design and by-default; deletion / anonymisation pipelines after retention expiry.</w:t>
      </w:r>
    </w:p>
    <w:p>
      <w:pPr>
        <w:pStyle w:val="ListParagraph"/>
        <w:numPr>
          <w:ilvl w:val="0"/>
          <w:numId w:val="2"/>
        </w:numPr>
        <w:spacing w:after="40" w:before="40" w:line="280"/>
      </w:pPr>
      <w:r>
        <w:rPr>
          <w:rFonts w:ascii="Calibri" w:cs="Calibri" w:eastAsia="Calibri" w:hAnsi="Calibri"/>
          <w:color w:val="212121"/>
          <w:sz w:val="22"/>
          <w:szCs w:val="22"/>
        </w:rPr>
        <w:t xml:space="preserve">Vulnerability management: weekly scans; CVE intake; patch SLA — critical 72 hours, high 7 days, medium 30 days. Annual independent penetration test; targeted post-major-release testing.</w:t>
      </w:r>
    </w:p>
    <w:p>
      <w:pPr>
        <w:pStyle w:val="ListParagraph"/>
        <w:numPr>
          <w:ilvl w:val="0"/>
          <w:numId w:val="2"/>
        </w:numPr>
        <w:spacing w:after="40" w:before="40" w:line="280"/>
      </w:pPr>
      <w:r>
        <w:rPr>
          <w:rFonts w:ascii="Calibri" w:cs="Calibri" w:eastAsia="Calibri" w:hAnsi="Calibri"/>
          <w:color w:val="212121"/>
          <w:sz w:val="22"/>
          <w:szCs w:val="22"/>
        </w:rPr>
        <w:t xml:space="preserve">Secret management: no secrets in source code; HashiCorp Vault or AWS Secrets Manager; auto-rotation 30–90 days; secret-scanning in CI.</w:t>
      </w:r>
    </w:p>
    <w:p>
      <w:pPr>
        <w:pStyle w:val="ListParagraph"/>
        <w:numPr>
          <w:ilvl w:val="0"/>
          <w:numId w:val="2"/>
        </w:numPr>
        <w:spacing w:after="40" w:before="40" w:line="280"/>
      </w:pPr>
      <w:r>
        <w:rPr>
          <w:rFonts w:ascii="Calibri" w:cs="Calibri" w:eastAsia="Calibri" w:hAnsi="Calibri"/>
          <w:color w:val="212121"/>
          <w:sz w:val="22"/>
          <w:szCs w:val="22"/>
        </w:rPr>
        <w:t xml:space="preserve">Backups: encrypted, hosted in a different Nigerian data centre from the primary; tested restores monthly; immutable backup copies for ransomware resilience.</w:t>
      </w:r>
    </w:p>
    <w:p>
      <w:pPr>
        <w:pStyle w:val="Heading1"/>
        <w:pageBreakBefore/>
        <w:spacing w:after="200" w:before="360"/>
      </w:pPr>
      <w:r>
        <w:rPr>
          <w:rFonts w:ascii="Calibri" w:cs="Calibri" w:eastAsia="Calibri" w:hAnsi="Calibri"/>
          <w:b/>
          <w:bCs/>
          <w:color w:val="C8102E"/>
          <w:sz w:val="40"/>
          <w:szCs w:val="40"/>
        </w:rPr>
        <w:t xml:space="preserve">11. Integrations &amp; Interfaces</w:t>
      </w:r>
    </w:p>
    <w:p>
      <w:pPr>
        <w:spacing w:after="80" w:before="80" w:line="300"/>
        <w:jc w:val="left"/>
      </w:pPr>
      <w:r>
        <w:rPr>
          <w:rFonts w:ascii="Calibri" w:cs="Calibri" w:eastAsia="Calibri" w:hAnsi="Calibri"/>
          <w:b w:val="false"/>
          <w:bCs w:val="false"/>
          <w:i w:val="false"/>
          <w:iCs w:val="false"/>
          <w:color w:val="212121"/>
          <w:sz w:val="22"/>
          <w:szCs w:val="22"/>
        </w:rPr>
        <w:t xml:space="preserve">Numbers in 'Phase' indicate the delivery phase in which the integration is in scope. Authentication, message format, error handling and SLA are defined per integration in the Solution Architecture Document (SAD) that follows this BRD.</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000"/>
        <w:gridCol w:w="2360"/>
        <w:gridCol w:w="900"/>
      </w:tblGrid>
      <w:tr>
        <w:trPr>
          <w:tblHeader/>
        </w:trPr>
        <w:tc>
          <w:tcPr>
            <w:tcW w:type="dxa" w:w="12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ID</w:t>
            </w:r>
          </w:p>
        </w:tc>
        <w:tc>
          <w:tcPr>
            <w:tcW w:type="dxa" w:w="19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System</w:t>
            </w:r>
          </w:p>
        </w:tc>
        <w:tc>
          <w:tcPr>
            <w:tcW w:type="dxa" w:w="30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What is exchanged</w:t>
            </w:r>
          </w:p>
        </w:tc>
        <w:tc>
          <w:tcPr>
            <w:tcW w:type="dxa" w:w="23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Mechanism</w:t>
            </w:r>
          </w:p>
        </w:tc>
        <w:tc>
          <w:tcPr>
            <w:tcW w:type="dxa" w:w="9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Phase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INT-CBS-01</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 banking — Finacle / T24 / FLEXCUBE / TCS BaNCS / Temenos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Customer master, account master, GL postings, transactions, FX rates, dormant-account flags</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Bi-directional REST + JDBC; Kafka stream for transaction events</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INT-NIBSS-BVN</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NIBSS BVN Verification API</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BVN validation, photograph retrieval, basic biometric KYC indicators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REST over mTLS, NIBSS-issued credentials</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INT-NIBSS-ICAD</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NIBSS Industry Customer Account Database &amp; Watch-list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Watch-list screening, cross-bank account lookup</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REST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INT-NIBSS-NIP</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NIBSS Instant Payments</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Real-time payment transactions for monitoring and screening</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ISO 20022 messages over the bank's NIP gateway</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INT-NIMC</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NIMC NIN Verification</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NIN demographic verification</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REST over mTLS, NIMC-issued credentials</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INT-CAC</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CAC Search / PSC API</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Company registration data, beneficial owners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REST; manual fallback if API not yet exposed</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INT-FIRS-TIN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FIRS TIN Verification</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Validate corporate TIN</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REST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INT-NFIU-GOAML</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NFIU goAML</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STR / CTR / suspicious activity report submission and acknowledgement</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XML over web service / SFTP</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INT-CBN-EFASS</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 eFASS / FinA</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Prudential and regulatory returns submission</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File upload / API as published</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INT-CBN-CRMS</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 Credit Risk Management System</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Credit data submission and inquiry</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Daily batch</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INT-SWIFT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SWIFT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Cross-border messages screening (MT103, pacs.008, etc.)</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Standing message hook to the bank's SWIFT alliance</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INT-CARDS</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Card switch (Interswitch / Verve / Mastercard / Visa)</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Card transaction monitoring</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ISO 8583 / 20022 feed</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INT-AML-LIST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List vendors (Dow Jones, Refinitiv World-Check, LexisNexis, Accuity)</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Sanctions, PEP, adverse media data</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API or daily file feed</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INT-NDPC</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NDPC reporting portal</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Annual filing, breach notification, DPCO audit</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Web portal automation or API as available</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INT-SEC</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 e-portal</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Capital-market returns</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Portal upload</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INT-NAICOM</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NAICOM portal (for groups with insurance subsidiary)</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Insurance returns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Portal upload</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INT-PENCOM</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PenCom RBS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Pension returns (for PFA / PFC subsidiary)</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Portal upload</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INT-HRIS</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HRIS (SAP, Workday, Oracle, internal)</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Employee master, joiner / mover / leaver, training records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REST / SFTP</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INT-IDAM</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Bank IDAM (AD / Entra / Okta)</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SSO, MFA, group-based authorisation</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SAML 2.0 / OIDC</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INT-SIEM</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Bank SIEM (Splunk / QRadar / Sentinel)</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Audit log forwarding, security events</w:t>
            </w:r>
          </w:p>
        </w:tc>
        <w:tc>
          <w:tcPr>
            <w:tcW w:type="dxa" w:w="2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Syslog / CEF / OpenTelemetry</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INT-DWH</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Enterprise Data Warehouse / Data Lake</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Source for returns generation, KCI / KRI computation</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JDBC / ODBC / object store read</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r>
    </w:tbl>
    <w:p>
      <w:pPr>
        <w:pStyle w:val="Heading1"/>
        <w:pageBreakBefore/>
        <w:spacing w:after="200" w:before="360"/>
      </w:pPr>
      <w:r>
        <w:rPr>
          <w:rFonts w:ascii="Calibri" w:cs="Calibri" w:eastAsia="Calibri" w:hAnsi="Calibri"/>
          <w:b/>
          <w:bCs/>
          <w:color w:val="C8102E"/>
          <w:sz w:val="40"/>
          <w:szCs w:val="40"/>
        </w:rPr>
        <w:t xml:space="preserve">12. Data Model (Conceptual)</w:t>
      </w:r>
    </w:p>
    <w:p>
      <w:pPr>
        <w:spacing w:after="80" w:before="80" w:line="300"/>
        <w:jc w:val="left"/>
      </w:pPr>
      <w:r>
        <w:rPr>
          <w:rFonts w:ascii="Calibri" w:cs="Calibri" w:eastAsia="Calibri" w:hAnsi="Calibri"/>
          <w:b w:val="false"/>
          <w:bCs w:val="false"/>
          <w:i w:val="false"/>
          <w:iCs w:val="false"/>
          <w:color w:val="212121"/>
          <w:sz w:val="22"/>
          <w:szCs w:val="22"/>
        </w:rPr>
        <w:t xml:space="preserve">The data model below is conceptual; physical schemas, indexing strategy, partitioning and retention are defined in the Solution Architecture Document. PII columns are marked 'enc' indicating column-level encryption with HSM-backed keys.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Entity</w:t>
            </w:r>
          </w:p>
        </w:tc>
        <w:tc>
          <w:tcPr>
            <w:tcW w:type="dxa" w:w="69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Attributes (selected)</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RegulatoryInstrument</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instrument_id (PK), title, issuing_regulator_id, instrument_type, instrument_number, date_issued, effective_date, repeal_date, jurisdiction, applicable_institution_types[], theme, category, impact (1-3), likelihood (1-3), overall_rating, summary, source_url, source_pdf_uri, parent_instrument_id, created_at, updated_at</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Obligation</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obligation_id (PK), instrument_id (FK), clause_reference, statement, frequency, responsible_role, accountable_role, lob_id, status, created_at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Policy</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policy_id (PK), title, version, effective_from, effective_to, owner_id, approver_id, approval_date, document_uri, status (Draft / Review / Approved / Published / Retired), parent_policy_id, created_at</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PolicyObligationMap</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policy_id (FK), obligation_id (FK) — composite PK</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Control</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control_id (PK), name, description, type (Preventive / Detective / Corrective), automation (Manual / Semi / Automated), frequency, owner_id, tester_id, lob_id, method (Sampling / 100% / KCI / KRI), threshold, status, last_tested_at, next_due_at, created_at</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ControlObligationMap</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control_id (FK), obligation_id (FK) — composite PK</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ControlTest</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test_id (PK), control_id (FK), test_date, tester_id, method, sample_size, pass_fail, score, evidence_uri[], comments, created_at</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Issue</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issue_id (PK), source (Control / Audit / Regulator / Self-id), source_ref, severity, status, owner_id, due_date, root_cause, remediation_plan, evidence_uri[], closed_at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Customer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customer_id (PK), customer_type, first_name, middle_name, last_name, legal_name, dob, bvn (enc), nin (enc), tin (enc), rc_number, bn_number, residency_country, occupation_sector, kyc_tier (1/2/3), crr_band (Low / Med / High / Prohibited), pep_status, edd_required, last_kyc_review_at, next_kyc_review_at, created_at</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BeneficialOwner</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bo_id (PK), customer_id (FK), full_name, percentage_ownership, nature_of_control, nin (enc), bvn (enc), pep_status, source_of_wealth, evidence_uri[]</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ScreeningHit</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hit_id (PK), subject_type (Customer / BO / Counterparty / Employee), subject_id, list_id, list_entry_id, match_score, status (Open / TruePositive / FalsePositive / Whitelisted), decided_by, decided_at, rationale</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WatchList</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list_id (PK), source (UN / OFAC / EU / HMT / NSC / NFIU / LocalPEP / Custom), version, refreshed_at, entry_count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Transaction</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txn_id (PK), customer_id (FK), counterparty_id, channel (NIP / NEFT / RTGS / SWIFT / ATM / POS / Branch / USSD / Web / Mobile), direction (DR / CR), amount, currency, value_date, narration, posting_ref, source_system</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AmlAlert</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alert_id (PK), customer_id (FK), rule_id (FK), severity, generated_at, transactions_ref[], status, disposition, mlro_decision, created_at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AmlRule</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rule_id (PK), code, description, scenario, threshold_config_json, scope (LOB / Segment / All), enabled, version</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Str</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str_id (PK), customer_id (FK), alert_ref[], typology, narrative, mlro_id, status (Draft / Review / Approved / Submitted / Acknowledged / Rejected), goaml_xml_uri, submitted_at, acknowledged_at, nfiu_ref</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Ctr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ctr_id (PK), customer_id (FK), date, transactions_ref[], aggregate_amount, currency, basis (Single / Aggregated), submitted_at, nfiu_ref</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RegulatoryReturn</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return_id (PK), template_id (FK), reporting_period, due_date, status, prepared_by, reviewed_by, approved_by, submitted_at, submission_ref, output_uri</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Complaint</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complaint_id (PK), customer_id (FK), channel, category, subcategory, received_at, acknowledged_at, resolved_at, sla_status, resolution_amount, escalated_to_cbn (bool), rca_code</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RoPA</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ropa_id (PK), processing_activity, controller_role, processor_id, purpose, lawful_basis, categories_data_subjects[], categories_personal_data[], recipients[], retention_days, cross_border (bool), safeguards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Dpia</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dpia_id (PK), title, owner_id, processing_ref (RoPA), risk_score, mitigations, status, approved_at</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Dsr</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dsr_id (PK), customer_id (FK), right_type (Access / Rectify / Erase / Restrict / Portability / Object), received_at, due_at (received_at + 30d), status, evidence_uri[]</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Breach</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breach_id (PK), category (Confidentiality / Integrity / Availability), severity, detected_at, contained_at, affected_subjects_count, ndpc_notified_at, ndpc_due_at (detected_at + 72h), notification_uri</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Vendor</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vendor_id (PK), name, rc_number, tier (Critical / Material / Standard / Low), categories[], dpa_status, last_review_at, next_review_at, status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TrainingRecord</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record_id (PK), employee_id, module_id, completion_date, score, expiry_date, certificate_uri</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AuditEvent</w:t>
            </w:r>
          </w:p>
        </w:tc>
        <w:tc>
          <w:tcPr>
            <w:tcW w:type="dxa" w:w="69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event_id (PK), actor_id, action, resource_type, resource_id, payload_hash, prior_hash, signed_chain_hash, created_at</w:t>
            </w:r>
          </w:p>
        </w:tc>
      </w:tr>
    </w:tbl>
    <w:p>
      <w:pPr>
        <w:pStyle w:val="Heading1"/>
        <w:pageBreakBefore/>
        <w:spacing w:after="200" w:before="360"/>
      </w:pPr>
      <w:r>
        <w:rPr>
          <w:rFonts w:ascii="Calibri" w:cs="Calibri" w:eastAsia="Calibri" w:hAnsi="Calibri"/>
          <w:b/>
          <w:bCs/>
          <w:color w:val="C8102E"/>
          <w:sz w:val="40"/>
          <w:szCs w:val="40"/>
        </w:rPr>
        <w:t xml:space="preserve">13. Roles &amp; RBAC</w:t>
      </w:r>
    </w:p>
    <w:p>
      <w:pPr>
        <w:spacing w:after="80" w:before="80" w:line="300"/>
        <w:jc w:val="left"/>
      </w:pPr>
      <w:r>
        <w:rPr>
          <w:rFonts w:ascii="Calibri" w:cs="Calibri" w:eastAsia="Calibri" w:hAnsi="Calibri"/>
          <w:b w:val="false"/>
          <w:bCs w:val="false"/>
          <w:i w:val="false"/>
          <w:iCs w:val="false"/>
          <w:color w:val="212121"/>
          <w:sz w:val="22"/>
          <w:szCs w:val="22"/>
        </w:rPr>
        <w:t xml:space="preserve">Roles are mapped to LDAP / Entra / Okta groups during deployment. Role separation is enforced — for example, the MLRO may not approve their own STR submission above defined materiality; the CCO countersigns.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ID</w:t>
            </w:r>
          </w:p>
        </w:tc>
        <w:tc>
          <w:tcPr>
            <w:tcW w:type="dxa" w:w="28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Role</w:t>
            </w:r>
          </w:p>
        </w:tc>
        <w:tc>
          <w:tcPr>
            <w:tcW w:type="dxa" w:w="53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Permissions (summary)</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R-CCO</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Compliance Officer</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All read; approves policies, returns, sanctions list changes; closes severe issues.</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R-MLRO</w:t>
            </w:r>
          </w:p>
        </w:tc>
        <w:tc>
          <w:tcPr>
            <w:tcW w:type="dxa" w:w="2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Money Laundering Reporting Officer</w:t>
            </w:r>
          </w:p>
        </w:tc>
        <w:tc>
          <w:tcPr>
            <w:tcW w:type="dxa" w:w="5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Full access to M06–M09, M16; approves STR / CTR / sanctions hit closure.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R-DPO</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Protection Officer</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Full access to M12; approves DPIA, DSR responses, breach notifications.</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R-CWO</w:t>
            </w:r>
          </w:p>
        </w:tc>
        <w:tc>
          <w:tcPr>
            <w:tcW w:type="dxa" w:w="2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Whistleblowing Officer</w:t>
            </w:r>
          </w:p>
        </w:tc>
        <w:tc>
          <w:tcPr>
            <w:tcW w:type="dxa" w:w="5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Sole access to M13 case content.</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R-REG-COMP</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Regulatory Compliance Lead</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Full access to M01–M03, M10, M17, M18.</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R-CCP</w:t>
            </w:r>
          </w:p>
        </w:tc>
        <w:tc>
          <w:tcPr>
            <w:tcW w:type="dxa" w:w="2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Head Consumer Protection</w:t>
            </w:r>
          </w:p>
        </w:tc>
        <w:tc>
          <w:tcPr>
            <w:tcW w:type="dxa" w:w="5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Full access to M11.</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R-LOB-COMP</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LOB Compliance Officer</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Read on M01–M04, M18; write on M05 (own LOB controls), M06 (escalations), M11 (own LOB complaints).</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R-BRANCH-COMP</w:t>
            </w:r>
          </w:p>
        </w:tc>
        <w:tc>
          <w:tcPr>
            <w:tcW w:type="dxa" w:w="2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Branch Compliance Officer</w:t>
            </w:r>
          </w:p>
        </w:tc>
        <w:tc>
          <w:tcPr>
            <w:tcW w:type="dxa" w:w="5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Read on customer onboarding screening; write on KYC exceptions, STR drafts; no access to other branches' data.</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R-AUDIT</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Internal Audit</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Read-only across all modules; ability to attach audit findings.</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R-CISO</w:t>
            </w:r>
          </w:p>
        </w:tc>
        <w:tc>
          <w:tcPr>
            <w:tcW w:type="dxa" w:w="2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Information Security Officer</w:t>
            </w:r>
          </w:p>
        </w:tc>
        <w:tc>
          <w:tcPr>
            <w:tcW w:type="dxa" w:w="5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Read on M16, M12; admin on platform security configuration.</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R-CRO</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Risk Officer</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Read all; approves BRA, RCSA outcomes.</w:t>
            </w:r>
          </w:p>
        </w:tc>
      </w:tr>
      <w:tr>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R-ADMIN-PLATFORM</w:t>
            </w:r>
          </w:p>
        </w:tc>
        <w:tc>
          <w:tcPr>
            <w:tcW w:type="dxa" w:w="2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Platform Administrator</w:t>
            </w:r>
          </w:p>
        </w:tc>
        <w:tc>
          <w:tcPr>
            <w:tcW w:type="dxa" w:w="5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User and role management; no business-data access; every action recorded; requires four-eyes on privilege escalation.</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R-REGULATOR-VIEW</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External Regulator Read-only (Phase 2)</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Scoped read access to specific modules and date ranges; every view logged.</w:t>
            </w:r>
          </w:p>
        </w:tc>
      </w:tr>
    </w:tbl>
    <w:p>
      <w:pPr>
        <w:pStyle w:val="Heading1"/>
        <w:pageBreakBefore/>
        <w:spacing w:after="200" w:before="360"/>
      </w:pPr>
      <w:r>
        <w:rPr>
          <w:rFonts w:ascii="Calibri" w:cs="Calibri" w:eastAsia="Calibri" w:hAnsi="Calibri"/>
          <w:b/>
          <w:bCs/>
          <w:color w:val="C8102E"/>
          <w:sz w:val="40"/>
          <w:szCs w:val="40"/>
        </w:rPr>
        <w:t xml:space="preserve">14. Worked Workflows</w:t>
      </w:r>
    </w:p>
    <w:p>
      <w:pPr>
        <w:spacing w:after="80" w:before="80" w:line="300"/>
        <w:jc w:val="left"/>
      </w:pPr>
      <w:r>
        <w:rPr>
          <w:rFonts w:ascii="Calibri" w:cs="Calibri" w:eastAsia="Calibri" w:hAnsi="Calibri"/>
          <w:b w:val="false"/>
          <w:bCs w:val="false"/>
          <w:i w:val="false"/>
          <w:iCs w:val="false"/>
          <w:color w:val="212121"/>
          <w:sz w:val="22"/>
          <w:szCs w:val="22"/>
        </w:rPr>
        <w:t xml:space="preserve">Workflows below illustrate the expected behaviour of the platform end-to-end. Each step is implemented by one or more modules and is testable via the acceptance criteria in Section 8.</w:t>
      </w:r>
    </w:p>
    <w:p>
      <w:pPr>
        <w:pStyle w:val="Heading3"/>
        <w:spacing w:after="100" w:before="200"/>
      </w:pPr>
      <w:r>
        <w:rPr>
          <w:rFonts w:ascii="Calibri" w:cs="Calibri" w:eastAsia="Calibri" w:hAnsi="Calibri"/>
          <w:b/>
          <w:bCs/>
          <w:color w:val="C8102E"/>
          <w:sz w:val="26"/>
          <w:szCs w:val="26"/>
        </w:rPr>
        <w:t xml:space="preserve">WF-01: New CBN circular ingestion</w:t>
      </w:r>
    </w:p>
    <w:p>
      <w:pPr>
        <w:pStyle w:val="ListParagraph"/>
        <w:numPr>
          <w:ilvl w:val="0"/>
          <w:numId w:val="3"/>
        </w:numPr>
        <w:spacing w:after="40" w:before="40" w:line="280"/>
      </w:pPr>
      <w:r>
        <w:rPr>
          <w:rFonts w:ascii="Calibri" w:cs="Calibri" w:eastAsia="Calibri" w:hAnsi="Calibri"/>
          <w:color w:val="212121"/>
          <w:sz w:val="22"/>
          <w:szCs w:val="22"/>
        </w:rPr>
        <w:t xml:space="preserve">Horizon scanner detects new PDF on cbn.gov.ng/Out/2026/CCD/.</w:t>
      </w:r>
    </w:p>
    <w:p>
      <w:pPr>
        <w:pStyle w:val="ListParagraph"/>
        <w:numPr>
          <w:ilvl w:val="0"/>
          <w:numId w:val="3"/>
        </w:numPr>
        <w:spacing w:after="40" w:before="40" w:line="280"/>
      </w:pPr>
      <w:r>
        <w:rPr>
          <w:rFonts w:ascii="Calibri" w:cs="Calibri" w:eastAsia="Calibri" w:hAnsi="Calibri"/>
          <w:color w:val="212121"/>
          <w:sz w:val="22"/>
          <w:szCs w:val="22"/>
        </w:rPr>
        <w:t xml:space="preserve">PDF and metadata pulled; OCR if needed; instrument record created in Draft.</w:t>
      </w:r>
    </w:p>
    <w:p>
      <w:pPr>
        <w:pStyle w:val="ListParagraph"/>
        <w:numPr>
          <w:ilvl w:val="0"/>
          <w:numId w:val="3"/>
        </w:numPr>
        <w:spacing w:after="40" w:before="40" w:line="280"/>
      </w:pPr>
      <w:r>
        <w:rPr>
          <w:rFonts w:ascii="Calibri" w:cs="Calibri" w:eastAsia="Calibri" w:hAnsi="Calibri"/>
          <w:color w:val="212121"/>
          <w:sz w:val="22"/>
          <w:szCs w:val="22"/>
        </w:rPr>
        <w:t xml:space="preserve">Auto-classification suggests theme, applicable institution types, parent instrument.</w:t>
      </w:r>
    </w:p>
    <w:p>
      <w:pPr>
        <w:pStyle w:val="ListParagraph"/>
        <w:numPr>
          <w:ilvl w:val="0"/>
          <w:numId w:val="3"/>
        </w:numPr>
        <w:spacing w:after="40" w:before="40" w:line="280"/>
      </w:pPr>
      <w:r>
        <w:rPr>
          <w:rFonts w:ascii="Calibri" w:cs="Calibri" w:eastAsia="Calibri" w:hAnsi="Calibri"/>
          <w:color w:val="212121"/>
          <w:sz w:val="22"/>
          <w:szCs w:val="22"/>
        </w:rPr>
        <w:t xml:space="preserve">Regulatory Compliance Lead reviews and confirms classification; assigns risk rating.</w:t>
      </w:r>
    </w:p>
    <w:p>
      <w:pPr>
        <w:pStyle w:val="ListParagraph"/>
        <w:numPr>
          <w:ilvl w:val="0"/>
          <w:numId w:val="3"/>
        </w:numPr>
        <w:spacing w:after="40" w:before="40" w:line="280"/>
      </w:pPr>
      <w:r>
        <w:rPr>
          <w:rFonts w:ascii="Calibri" w:cs="Calibri" w:eastAsia="Calibri" w:hAnsi="Calibri"/>
          <w:color w:val="212121"/>
          <w:sz w:val="22"/>
          <w:szCs w:val="22"/>
        </w:rPr>
        <w:t xml:space="preserve">Impact assessment task auto-created for each affected LOB compliance officer.</w:t>
      </w:r>
    </w:p>
    <w:p>
      <w:pPr>
        <w:pStyle w:val="ListParagraph"/>
        <w:numPr>
          <w:ilvl w:val="0"/>
          <w:numId w:val="3"/>
        </w:numPr>
        <w:spacing w:after="40" w:before="40" w:line="280"/>
      </w:pPr>
      <w:r>
        <w:rPr>
          <w:rFonts w:ascii="Calibri" w:cs="Calibri" w:eastAsia="Calibri" w:hAnsi="Calibri"/>
          <w:color w:val="212121"/>
          <w:sz w:val="22"/>
          <w:szCs w:val="22"/>
        </w:rPr>
        <w:t xml:space="preserve">Impact assessments aggregated; action plan drafted (policy update, control change, training, system change, returns change).</w:t>
      </w:r>
    </w:p>
    <w:p>
      <w:pPr>
        <w:pStyle w:val="ListParagraph"/>
        <w:numPr>
          <w:ilvl w:val="0"/>
          <w:numId w:val="3"/>
        </w:numPr>
        <w:spacing w:after="40" w:before="40" w:line="280"/>
      </w:pPr>
      <w:r>
        <w:rPr>
          <w:rFonts w:ascii="Calibri" w:cs="Calibri" w:eastAsia="Calibri" w:hAnsi="Calibri"/>
          <w:color w:val="212121"/>
          <w:sz w:val="22"/>
          <w:szCs w:val="22"/>
        </w:rPr>
        <w:t xml:space="preserve">CCO signs off the action plan and effective date.</w:t>
      </w:r>
    </w:p>
    <w:p>
      <w:pPr>
        <w:pStyle w:val="ListParagraph"/>
        <w:numPr>
          <w:ilvl w:val="0"/>
          <w:numId w:val="3"/>
        </w:numPr>
        <w:spacing w:after="40" w:before="40" w:line="280"/>
      </w:pPr>
      <w:r>
        <w:rPr>
          <w:rFonts w:ascii="Calibri" w:cs="Calibri" w:eastAsia="Calibri" w:hAnsi="Calibri"/>
          <w:color w:val="212121"/>
          <w:sz w:val="22"/>
          <w:szCs w:val="22"/>
        </w:rPr>
        <w:t xml:space="preserve">Linked policies / controls / returns auto-flagged as 'pending update'.</w:t>
      </w:r>
    </w:p>
    <w:p>
      <w:pPr>
        <w:pStyle w:val="ListParagraph"/>
        <w:numPr>
          <w:ilvl w:val="0"/>
          <w:numId w:val="3"/>
        </w:numPr>
        <w:spacing w:after="40" w:before="40" w:line="280"/>
      </w:pPr>
      <w:r>
        <w:rPr>
          <w:rFonts w:ascii="Calibri" w:cs="Calibri" w:eastAsia="Calibri" w:hAnsi="Calibri"/>
          <w:color w:val="212121"/>
          <w:sz w:val="22"/>
          <w:szCs w:val="22"/>
        </w:rPr>
        <w:t xml:space="preserve">Implementation tasks created in M02 (policy), M05 (controls), M15 (training).</w:t>
      </w:r>
    </w:p>
    <w:p>
      <w:pPr>
        <w:pStyle w:val="ListParagraph"/>
        <w:numPr>
          <w:ilvl w:val="0"/>
          <w:numId w:val="3"/>
        </w:numPr>
        <w:spacing w:after="40" w:before="40" w:line="280"/>
      </w:pPr>
      <w:r>
        <w:rPr>
          <w:rFonts w:ascii="Calibri" w:cs="Calibri" w:eastAsia="Calibri" w:hAnsi="Calibri"/>
          <w:color w:val="212121"/>
          <w:sz w:val="22"/>
          <w:szCs w:val="22"/>
        </w:rPr>
        <w:t xml:space="preserve">Closure on evidence of all linked tasks completed.</w:t>
      </w:r>
    </w:p>
    <w:p>
      <w:pPr>
        <w:pStyle w:val="Heading3"/>
        <w:spacing w:after="100" w:before="200"/>
      </w:pPr>
      <w:r>
        <w:rPr>
          <w:rFonts w:ascii="Calibri" w:cs="Calibri" w:eastAsia="Calibri" w:hAnsi="Calibri"/>
          <w:b/>
          <w:bCs/>
          <w:color w:val="C8102E"/>
          <w:sz w:val="26"/>
          <w:szCs w:val="26"/>
        </w:rPr>
        <w:t xml:space="preserve">WF-02: Onboarding a high-risk corporate customer</w:t>
      </w:r>
    </w:p>
    <w:p>
      <w:pPr>
        <w:pStyle w:val="ListParagraph"/>
        <w:numPr>
          <w:ilvl w:val="0"/>
          <w:numId w:val="3"/>
        </w:numPr>
        <w:spacing w:after="40" w:before="40" w:line="280"/>
      </w:pPr>
      <w:r>
        <w:rPr>
          <w:rFonts w:ascii="Calibri" w:cs="Calibri" w:eastAsia="Calibri" w:hAnsi="Calibri"/>
          <w:color w:val="212121"/>
          <w:sz w:val="22"/>
          <w:szCs w:val="22"/>
        </w:rPr>
        <w:t xml:space="preserve">Customer initiates application via branch or digital channel.</w:t>
      </w:r>
    </w:p>
    <w:p>
      <w:pPr>
        <w:pStyle w:val="ListParagraph"/>
        <w:numPr>
          <w:ilvl w:val="0"/>
          <w:numId w:val="3"/>
        </w:numPr>
        <w:spacing w:after="40" w:before="40" w:line="280"/>
      </w:pPr>
      <w:r>
        <w:rPr>
          <w:rFonts w:ascii="Calibri" w:cs="Calibri" w:eastAsia="Calibri" w:hAnsi="Calibri"/>
          <w:color w:val="212121"/>
          <w:sz w:val="22"/>
          <w:szCs w:val="22"/>
        </w:rPr>
        <w:t xml:space="preserve">Platform invokes CAC API to fetch registration data; flags discrepancies.</w:t>
      </w:r>
    </w:p>
    <w:p>
      <w:pPr>
        <w:pStyle w:val="ListParagraph"/>
        <w:numPr>
          <w:ilvl w:val="0"/>
          <w:numId w:val="3"/>
        </w:numPr>
        <w:spacing w:after="40" w:before="40" w:line="280"/>
      </w:pPr>
      <w:r>
        <w:rPr>
          <w:rFonts w:ascii="Calibri" w:cs="Calibri" w:eastAsia="Calibri" w:hAnsi="Calibri"/>
          <w:color w:val="212121"/>
          <w:sz w:val="22"/>
          <w:szCs w:val="22"/>
        </w:rPr>
        <w:t xml:space="preserve">BVN / NIN of directors and shareholders validated via NIBSS / NIMC.</w:t>
      </w:r>
    </w:p>
    <w:p>
      <w:pPr>
        <w:pStyle w:val="ListParagraph"/>
        <w:numPr>
          <w:ilvl w:val="0"/>
          <w:numId w:val="3"/>
        </w:numPr>
        <w:spacing w:after="40" w:before="40" w:line="280"/>
      </w:pPr>
      <w:r>
        <w:rPr>
          <w:rFonts w:ascii="Calibri" w:cs="Calibri" w:eastAsia="Calibri" w:hAnsi="Calibri"/>
          <w:color w:val="212121"/>
          <w:sz w:val="22"/>
          <w:szCs w:val="22"/>
        </w:rPr>
        <w:t xml:space="preserve">PSC / Beneficial Ownership captured per CAMA 2020 (≥5% threshold).</w:t>
      </w:r>
    </w:p>
    <w:p>
      <w:pPr>
        <w:pStyle w:val="ListParagraph"/>
        <w:numPr>
          <w:ilvl w:val="0"/>
          <w:numId w:val="3"/>
        </w:numPr>
        <w:spacing w:after="40" w:before="40" w:line="280"/>
      </w:pPr>
      <w:r>
        <w:rPr>
          <w:rFonts w:ascii="Calibri" w:cs="Calibri" w:eastAsia="Calibri" w:hAnsi="Calibri"/>
          <w:color w:val="212121"/>
          <w:sz w:val="22"/>
          <w:szCs w:val="22"/>
        </w:rPr>
        <w:t xml:space="preserve">Sanctions and PEP screening on entity, directors, BOs, signatories.</w:t>
      </w:r>
    </w:p>
    <w:p>
      <w:pPr>
        <w:pStyle w:val="ListParagraph"/>
        <w:numPr>
          <w:ilvl w:val="0"/>
          <w:numId w:val="3"/>
        </w:numPr>
        <w:spacing w:after="40" w:before="40" w:line="280"/>
      </w:pPr>
      <w:r>
        <w:rPr>
          <w:rFonts w:ascii="Calibri" w:cs="Calibri" w:eastAsia="Calibri" w:hAnsi="Calibri"/>
          <w:color w:val="212121"/>
          <w:sz w:val="22"/>
          <w:szCs w:val="22"/>
        </w:rPr>
        <w:t xml:space="preserve">Hits routed to MLRO alert workbench; no activation until cleared.</w:t>
      </w:r>
    </w:p>
    <w:p>
      <w:pPr>
        <w:pStyle w:val="ListParagraph"/>
        <w:numPr>
          <w:ilvl w:val="0"/>
          <w:numId w:val="3"/>
        </w:numPr>
        <w:spacing w:after="40" w:before="40" w:line="280"/>
      </w:pPr>
      <w:r>
        <w:rPr>
          <w:rFonts w:ascii="Calibri" w:cs="Calibri" w:eastAsia="Calibri" w:hAnsi="Calibri"/>
          <w:color w:val="212121"/>
          <w:sz w:val="22"/>
          <w:szCs w:val="22"/>
        </w:rPr>
        <w:t xml:space="preserve">Customer Risk Rating computed; if High, EDD pack required.</w:t>
      </w:r>
    </w:p>
    <w:p>
      <w:pPr>
        <w:pStyle w:val="ListParagraph"/>
        <w:numPr>
          <w:ilvl w:val="0"/>
          <w:numId w:val="3"/>
        </w:numPr>
        <w:spacing w:after="40" w:before="40" w:line="280"/>
      </w:pPr>
      <w:r>
        <w:rPr>
          <w:rFonts w:ascii="Calibri" w:cs="Calibri" w:eastAsia="Calibri" w:hAnsi="Calibri"/>
          <w:color w:val="212121"/>
          <w:sz w:val="22"/>
          <w:szCs w:val="22"/>
        </w:rPr>
        <w:t xml:space="preserve">EDD pack: source of funds, source of wealth, intended business, expected transaction profile, senior management approval.</w:t>
      </w:r>
    </w:p>
    <w:p>
      <w:pPr>
        <w:pStyle w:val="ListParagraph"/>
        <w:numPr>
          <w:ilvl w:val="0"/>
          <w:numId w:val="3"/>
        </w:numPr>
        <w:spacing w:after="40" w:before="40" w:line="280"/>
      </w:pPr>
      <w:r>
        <w:rPr>
          <w:rFonts w:ascii="Calibri" w:cs="Calibri" w:eastAsia="Calibri" w:hAnsi="Calibri"/>
          <w:color w:val="212121"/>
          <w:sz w:val="22"/>
          <w:szCs w:val="22"/>
        </w:rPr>
        <w:t xml:space="preserve">Account opened in core banking only after compliance status = Cleared in NGCOMPLY.</w:t>
      </w:r>
    </w:p>
    <w:p>
      <w:pPr>
        <w:pStyle w:val="ListParagraph"/>
        <w:numPr>
          <w:ilvl w:val="0"/>
          <w:numId w:val="3"/>
        </w:numPr>
        <w:spacing w:after="40" w:before="40" w:line="280"/>
      </w:pPr>
      <w:r>
        <w:rPr>
          <w:rFonts w:ascii="Calibri" w:cs="Calibri" w:eastAsia="Calibri" w:hAnsi="Calibri"/>
          <w:color w:val="212121"/>
          <w:sz w:val="22"/>
          <w:szCs w:val="22"/>
        </w:rPr>
        <w:t xml:space="preserve">Annual review timer set.</w:t>
      </w:r>
    </w:p>
    <w:p>
      <w:pPr>
        <w:pStyle w:val="Heading3"/>
        <w:spacing w:after="100" w:before="200"/>
      </w:pPr>
      <w:r>
        <w:rPr>
          <w:rFonts w:ascii="Calibri" w:cs="Calibri" w:eastAsia="Calibri" w:hAnsi="Calibri"/>
          <w:b/>
          <w:bCs/>
          <w:color w:val="C8102E"/>
          <w:sz w:val="26"/>
          <w:szCs w:val="26"/>
        </w:rPr>
        <w:t xml:space="preserve">WF-03: STR submission to NFIU</w:t>
      </w:r>
    </w:p>
    <w:p>
      <w:pPr>
        <w:pStyle w:val="ListParagraph"/>
        <w:numPr>
          <w:ilvl w:val="0"/>
          <w:numId w:val="3"/>
        </w:numPr>
        <w:spacing w:after="40" w:before="40" w:line="280"/>
      </w:pPr>
      <w:r>
        <w:rPr>
          <w:rFonts w:ascii="Calibri" w:cs="Calibri" w:eastAsia="Calibri" w:hAnsi="Calibri"/>
          <w:color w:val="212121"/>
          <w:sz w:val="22"/>
          <w:szCs w:val="22"/>
        </w:rPr>
        <w:t xml:space="preserve">AML alert generated by rule engine or branch escalation.</w:t>
      </w:r>
    </w:p>
    <w:p>
      <w:pPr>
        <w:pStyle w:val="ListParagraph"/>
        <w:numPr>
          <w:ilvl w:val="0"/>
          <w:numId w:val="3"/>
        </w:numPr>
        <w:spacing w:after="40" w:before="40" w:line="280"/>
      </w:pPr>
      <w:r>
        <w:rPr>
          <w:rFonts w:ascii="Calibri" w:cs="Calibri" w:eastAsia="Calibri" w:hAnsi="Calibri"/>
          <w:color w:val="212121"/>
          <w:sz w:val="22"/>
          <w:szCs w:val="22"/>
        </w:rPr>
        <w:t xml:space="preserve">Investigator builds case in workbench; attaches transactions, evidence, prior alerts.</w:t>
      </w:r>
    </w:p>
    <w:p>
      <w:pPr>
        <w:pStyle w:val="ListParagraph"/>
        <w:numPr>
          <w:ilvl w:val="0"/>
          <w:numId w:val="3"/>
        </w:numPr>
        <w:spacing w:after="40" w:before="40" w:line="280"/>
      </w:pPr>
      <w:r>
        <w:rPr>
          <w:rFonts w:ascii="Calibri" w:cs="Calibri" w:eastAsia="Calibri" w:hAnsi="Calibri"/>
          <w:color w:val="212121"/>
          <w:sz w:val="22"/>
          <w:szCs w:val="22"/>
        </w:rPr>
        <w:t xml:space="preserve">MLRO reviews; decision: dismiss / monitor / file STR.</w:t>
      </w:r>
    </w:p>
    <w:p>
      <w:pPr>
        <w:pStyle w:val="ListParagraph"/>
        <w:numPr>
          <w:ilvl w:val="0"/>
          <w:numId w:val="3"/>
        </w:numPr>
        <w:spacing w:after="40" w:before="40" w:line="280"/>
      </w:pPr>
      <w:r>
        <w:rPr>
          <w:rFonts w:ascii="Calibri" w:cs="Calibri" w:eastAsia="Calibri" w:hAnsi="Calibri"/>
          <w:color w:val="212121"/>
          <w:sz w:val="22"/>
          <w:szCs w:val="22"/>
        </w:rPr>
        <w:t xml:space="preserve">If file STR: STR drafting wizard pre-populates from case data.</w:t>
      </w:r>
    </w:p>
    <w:p>
      <w:pPr>
        <w:pStyle w:val="ListParagraph"/>
        <w:numPr>
          <w:ilvl w:val="0"/>
          <w:numId w:val="3"/>
        </w:numPr>
        <w:spacing w:after="40" w:before="40" w:line="280"/>
      </w:pPr>
      <w:r>
        <w:rPr>
          <w:rFonts w:ascii="Calibri" w:cs="Calibri" w:eastAsia="Calibri" w:hAnsi="Calibri"/>
          <w:color w:val="212121"/>
          <w:sz w:val="22"/>
          <w:szCs w:val="22"/>
        </w:rPr>
        <w:t xml:space="preserve">Validation against NFIU goAML XSD.</w:t>
      </w:r>
    </w:p>
    <w:p>
      <w:pPr>
        <w:pStyle w:val="ListParagraph"/>
        <w:numPr>
          <w:ilvl w:val="0"/>
          <w:numId w:val="3"/>
        </w:numPr>
        <w:spacing w:after="40" w:before="40" w:line="280"/>
      </w:pPr>
      <w:r>
        <w:rPr>
          <w:rFonts w:ascii="Calibri" w:cs="Calibri" w:eastAsia="Calibri" w:hAnsi="Calibri"/>
          <w:color w:val="212121"/>
          <w:sz w:val="22"/>
          <w:szCs w:val="22"/>
        </w:rPr>
        <w:t xml:space="preserve">MLRO signs off (with optional CCO countersign over materiality).</w:t>
      </w:r>
    </w:p>
    <w:p>
      <w:pPr>
        <w:pStyle w:val="ListParagraph"/>
        <w:numPr>
          <w:ilvl w:val="0"/>
          <w:numId w:val="3"/>
        </w:numPr>
        <w:spacing w:after="40" w:before="40" w:line="280"/>
      </w:pPr>
      <w:r>
        <w:rPr>
          <w:rFonts w:ascii="Calibri" w:cs="Calibri" w:eastAsia="Calibri" w:hAnsi="Calibri"/>
          <w:color w:val="212121"/>
          <w:sz w:val="22"/>
          <w:szCs w:val="22"/>
        </w:rPr>
        <w:t xml:space="preserve">Submission to goAML; capture of reference; status moves to Submitted.</w:t>
      </w:r>
    </w:p>
    <w:p>
      <w:pPr>
        <w:pStyle w:val="ListParagraph"/>
        <w:numPr>
          <w:ilvl w:val="0"/>
          <w:numId w:val="3"/>
        </w:numPr>
        <w:spacing w:after="40" w:before="40" w:line="280"/>
      </w:pPr>
      <w:r>
        <w:rPr>
          <w:rFonts w:ascii="Calibri" w:cs="Calibri" w:eastAsia="Calibri" w:hAnsi="Calibri"/>
          <w:color w:val="212121"/>
          <w:sz w:val="22"/>
          <w:szCs w:val="22"/>
        </w:rPr>
        <w:t xml:space="preserve">On acknowledgement, status moves to Acknowledged; persist NFIU reference.</w:t>
      </w:r>
    </w:p>
    <w:p>
      <w:pPr>
        <w:pStyle w:val="ListParagraph"/>
        <w:numPr>
          <w:ilvl w:val="0"/>
          <w:numId w:val="3"/>
        </w:numPr>
        <w:spacing w:after="40" w:before="40" w:line="280"/>
      </w:pPr>
      <w:r>
        <w:rPr>
          <w:rFonts w:ascii="Calibri" w:cs="Calibri" w:eastAsia="Calibri" w:hAnsi="Calibri"/>
          <w:color w:val="212121"/>
          <w:sz w:val="22"/>
          <w:szCs w:val="22"/>
        </w:rPr>
        <w:t xml:space="preserve">Tipping-off lockdown: customer-facing screens show no indicator of the STR.</w:t>
      </w:r>
    </w:p>
    <w:p>
      <w:pPr>
        <w:pStyle w:val="Heading3"/>
        <w:spacing w:after="100" w:before="200"/>
      </w:pPr>
      <w:r>
        <w:rPr>
          <w:rFonts w:ascii="Calibri" w:cs="Calibri" w:eastAsia="Calibri" w:hAnsi="Calibri"/>
          <w:b/>
          <w:bCs/>
          <w:color w:val="C8102E"/>
          <w:sz w:val="26"/>
          <w:szCs w:val="26"/>
        </w:rPr>
        <w:t xml:space="preserve">WF-04: NDPC breach notification (72-hour timer)</w:t>
      </w:r>
    </w:p>
    <w:p>
      <w:pPr>
        <w:pStyle w:val="ListParagraph"/>
        <w:numPr>
          <w:ilvl w:val="0"/>
          <w:numId w:val="3"/>
        </w:numPr>
        <w:spacing w:after="40" w:before="40" w:line="280"/>
      </w:pPr>
      <w:r>
        <w:rPr>
          <w:rFonts w:ascii="Calibri" w:cs="Calibri" w:eastAsia="Calibri" w:hAnsi="Calibri"/>
          <w:color w:val="212121"/>
          <w:sz w:val="22"/>
          <w:szCs w:val="22"/>
        </w:rPr>
        <w:t xml:space="preserve">Incident raised in M16; classified as Personal-Data Breach.</w:t>
      </w:r>
    </w:p>
    <w:p>
      <w:pPr>
        <w:pStyle w:val="ListParagraph"/>
        <w:numPr>
          <w:ilvl w:val="0"/>
          <w:numId w:val="3"/>
        </w:numPr>
        <w:spacing w:after="40" w:before="40" w:line="280"/>
      </w:pPr>
      <w:r>
        <w:rPr>
          <w:rFonts w:ascii="Calibri" w:cs="Calibri" w:eastAsia="Calibri" w:hAnsi="Calibri"/>
          <w:color w:val="212121"/>
          <w:sz w:val="22"/>
          <w:szCs w:val="22"/>
        </w:rPr>
        <w:t xml:space="preserve">DPO confirms classification; 72-hour timer starts; DPO and CCO see countdown.</w:t>
      </w:r>
    </w:p>
    <w:p>
      <w:pPr>
        <w:pStyle w:val="ListParagraph"/>
        <w:numPr>
          <w:ilvl w:val="0"/>
          <w:numId w:val="3"/>
        </w:numPr>
        <w:spacing w:after="40" w:before="40" w:line="280"/>
      </w:pPr>
      <w:r>
        <w:rPr>
          <w:rFonts w:ascii="Calibri" w:cs="Calibri" w:eastAsia="Calibri" w:hAnsi="Calibri"/>
          <w:color w:val="212121"/>
          <w:sz w:val="22"/>
          <w:szCs w:val="22"/>
        </w:rPr>
        <w:t xml:space="preserve">Investigation captures: scope, affected subjects, root cause, mitigations.</w:t>
      </w:r>
    </w:p>
    <w:p>
      <w:pPr>
        <w:pStyle w:val="ListParagraph"/>
        <w:numPr>
          <w:ilvl w:val="0"/>
          <w:numId w:val="3"/>
        </w:numPr>
        <w:spacing w:after="40" w:before="40" w:line="280"/>
      </w:pPr>
      <w:r>
        <w:rPr>
          <w:rFonts w:ascii="Calibri" w:cs="Calibri" w:eastAsia="Calibri" w:hAnsi="Calibri"/>
          <w:color w:val="212121"/>
          <w:sz w:val="22"/>
          <w:szCs w:val="22"/>
        </w:rPr>
        <w:t xml:space="preserve">Notification template auto-populated with mandatory NDPA fields.</w:t>
      </w:r>
    </w:p>
    <w:p>
      <w:pPr>
        <w:pStyle w:val="ListParagraph"/>
        <w:numPr>
          <w:ilvl w:val="0"/>
          <w:numId w:val="3"/>
        </w:numPr>
        <w:spacing w:after="40" w:before="40" w:line="280"/>
      </w:pPr>
      <w:r>
        <w:rPr>
          <w:rFonts w:ascii="Calibri" w:cs="Calibri" w:eastAsia="Calibri" w:hAnsi="Calibri"/>
          <w:color w:val="212121"/>
          <w:sz w:val="22"/>
          <w:szCs w:val="22"/>
        </w:rPr>
        <w:t xml:space="preserve">DPO submits to NDPC; capture acknowledgement.</w:t>
      </w:r>
    </w:p>
    <w:p>
      <w:pPr>
        <w:pStyle w:val="ListParagraph"/>
        <w:numPr>
          <w:ilvl w:val="0"/>
          <w:numId w:val="3"/>
        </w:numPr>
        <w:spacing w:after="40" w:before="40" w:line="280"/>
      </w:pPr>
      <w:r>
        <w:rPr>
          <w:rFonts w:ascii="Calibri" w:cs="Calibri" w:eastAsia="Calibri" w:hAnsi="Calibri"/>
          <w:color w:val="212121"/>
          <w:sz w:val="22"/>
          <w:szCs w:val="22"/>
        </w:rPr>
        <w:t xml:space="preserve">If high risk to data subjects, separate communication to affected subjects.</w:t>
      </w:r>
    </w:p>
    <w:p>
      <w:pPr>
        <w:pStyle w:val="ListParagraph"/>
        <w:numPr>
          <w:ilvl w:val="0"/>
          <w:numId w:val="3"/>
        </w:numPr>
        <w:spacing w:after="40" w:before="40" w:line="280"/>
      </w:pPr>
      <w:r>
        <w:rPr>
          <w:rFonts w:ascii="Calibri" w:cs="Calibri" w:eastAsia="Calibri" w:hAnsi="Calibri"/>
          <w:color w:val="212121"/>
          <w:sz w:val="22"/>
          <w:szCs w:val="22"/>
        </w:rPr>
        <w:t xml:space="preserve">Post-incident lesson learned and link back to controls; close incident.</w:t>
      </w:r>
    </w:p>
    <w:p>
      <w:pPr>
        <w:pStyle w:val="Heading3"/>
        <w:spacing w:after="100" w:before="200"/>
      </w:pPr>
      <w:r>
        <w:rPr>
          <w:rFonts w:ascii="Calibri" w:cs="Calibri" w:eastAsia="Calibri" w:hAnsi="Calibri"/>
          <w:b/>
          <w:bCs/>
          <w:color w:val="C8102E"/>
          <w:sz w:val="26"/>
          <w:szCs w:val="26"/>
        </w:rPr>
        <w:t xml:space="preserve">WF-05: Monthly CBN consumer-complaints return</w:t>
      </w:r>
    </w:p>
    <w:p>
      <w:pPr>
        <w:pStyle w:val="ListParagraph"/>
        <w:numPr>
          <w:ilvl w:val="0"/>
          <w:numId w:val="3"/>
        </w:numPr>
        <w:spacing w:after="40" w:before="40" w:line="280"/>
      </w:pPr>
      <w:r>
        <w:rPr>
          <w:rFonts w:ascii="Calibri" w:cs="Calibri" w:eastAsia="Calibri" w:hAnsi="Calibri"/>
          <w:color w:val="212121"/>
          <w:sz w:val="22"/>
          <w:szCs w:val="22"/>
        </w:rPr>
        <w:t xml:space="preserve">On Day-1 of month: platform aggregates all complaints with status 'closed' or 'open' in scope.</w:t>
      </w:r>
    </w:p>
    <w:p>
      <w:pPr>
        <w:pStyle w:val="ListParagraph"/>
        <w:numPr>
          <w:ilvl w:val="0"/>
          <w:numId w:val="3"/>
        </w:numPr>
        <w:spacing w:after="40" w:before="40" w:line="280"/>
      </w:pPr>
      <w:r>
        <w:rPr>
          <w:rFonts w:ascii="Calibri" w:cs="Calibri" w:eastAsia="Calibri" w:hAnsi="Calibri"/>
          <w:color w:val="212121"/>
          <w:sz w:val="22"/>
          <w:szCs w:val="22"/>
        </w:rPr>
        <w:t xml:space="preserve">Variance vs prior month auto-computed; outliers flagged for narrative.</w:t>
      </w:r>
    </w:p>
    <w:p>
      <w:pPr>
        <w:pStyle w:val="ListParagraph"/>
        <w:numPr>
          <w:ilvl w:val="0"/>
          <w:numId w:val="3"/>
        </w:numPr>
        <w:spacing w:after="40" w:before="40" w:line="280"/>
      </w:pPr>
      <w:r>
        <w:rPr>
          <w:rFonts w:ascii="Calibri" w:cs="Calibri" w:eastAsia="Calibri" w:hAnsi="Calibri"/>
          <w:color w:val="212121"/>
          <w:sz w:val="22"/>
          <w:szCs w:val="22"/>
        </w:rPr>
        <w:t xml:space="preserve">Head Consumer Protection reviews and signs off.</w:t>
      </w:r>
    </w:p>
    <w:p>
      <w:pPr>
        <w:pStyle w:val="ListParagraph"/>
        <w:numPr>
          <w:ilvl w:val="0"/>
          <w:numId w:val="3"/>
        </w:numPr>
        <w:spacing w:after="40" w:before="40" w:line="280"/>
      </w:pPr>
      <w:r>
        <w:rPr>
          <w:rFonts w:ascii="Calibri" w:cs="Calibri" w:eastAsia="Calibri" w:hAnsi="Calibri"/>
          <w:color w:val="212121"/>
          <w:sz w:val="22"/>
          <w:szCs w:val="22"/>
        </w:rPr>
        <w:t xml:space="preserve">CCO countersigns.</w:t>
      </w:r>
    </w:p>
    <w:p>
      <w:pPr>
        <w:pStyle w:val="ListParagraph"/>
        <w:numPr>
          <w:ilvl w:val="0"/>
          <w:numId w:val="3"/>
        </w:numPr>
        <w:spacing w:after="40" w:before="40" w:line="280"/>
      </w:pPr>
      <w:r>
        <w:rPr>
          <w:rFonts w:ascii="Calibri" w:cs="Calibri" w:eastAsia="Calibri" w:hAnsi="Calibri"/>
          <w:color w:val="212121"/>
          <w:sz w:val="22"/>
          <w:szCs w:val="22"/>
        </w:rPr>
        <w:t xml:space="preserve">File generated in CBN-specified template and submitted; acknowledgement persisted.</w:t>
      </w:r>
    </w:p>
    <w:p>
      <w:pPr>
        <w:pStyle w:val="ListParagraph"/>
        <w:numPr>
          <w:ilvl w:val="0"/>
          <w:numId w:val="3"/>
        </w:numPr>
        <w:spacing w:after="40" w:before="40" w:line="280"/>
      </w:pPr>
      <w:r>
        <w:rPr>
          <w:rFonts w:ascii="Calibri" w:cs="Calibri" w:eastAsia="Calibri" w:hAnsi="Calibri"/>
          <w:color w:val="212121"/>
          <w:sz w:val="22"/>
          <w:szCs w:val="22"/>
        </w:rPr>
        <w:t xml:space="preserve">Trail: every figure traceable to the underlying complaint record.</w:t>
      </w:r>
    </w:p>
    <w:p>
      <w:pPr>
        <w:pStyle w:val="Heading1"/>
        <w:pageBreakBefore/>
        <w:spacing w:after="200" w:before="360"/>
      </w:pPr>
      <w:r>
        <w:rPr>
          <w:rFonts w:ascii="Calibri" w:cs="Calibri" w:eastAsia="Calibri" w:hAnsi="Calibri"/>
          <w:b/>
          <w:bCs/>
          <w:color w:val="C8102E"/>
          <w:sz w:val="40"/>
          <w:szCs w:val="40"/>
        </w:rPr>
        <w:t xml:space="preserve">15. Deployment, Hosting &amp; Data Residency</w:t>
      </w:r>
    </w:p>
    <w:p>
      <w:pPr>
        <w:spacing w:after="80" w:before="80" w:line="300"/>
        <w:jc w:val="left"/>
      </w:pPr>
      <w:r>
        <w:rPr>
          <w:rFonts w:ascii="Calibri" w:cs="Calibri" w:eastAsia="Calibri" w:hAnsi="Calibri"/>
          <w:b w:val="false"/>
          <w:bCs w:val="false"/>
          <w:i w:val="false"/>
          <w:iCs w:val="false"/>
          <w:color w:val="212121"/>
          <w:sz w:val="22"/>
          <w:szCs w:val="22"/>
        </w:rPr>
        <w:t xml:space="preserve">Hosting models: (a) SaaS — multi-tenant, Nigeria-resident, hosted on a CBN-acceptable cloud (MainOne, Galaxy Backbone, MTN Nigeria, Rack Centre, Open Access Data Centres, or hyperscale region in Nigeria when generally available). (b) Single-tenant SaaS hosted in a Nigerian Tier-III+ data centre for institutions with stricter data-localisation requirements. (c) On-premise / private cloud — the bank operates the platform on its own infrastructure.</w:t>
      </w:r>
    </w:p>
    <w:p>
      <w:pPr>
        <w:spacing w:after="80" w:before="80" w:line="300"/>
        <w:jc w:val="left"/>
      </w:pPr>
      <w:r>
        <w:rPr>
          <w:rFonts w:ascii="Calibri" w:cs="Calibri" w:eastAsia="Calibri" w:hAnsi="Calibri"/>
          <w:b w:val="false"/>
          <w:bCs w:val="false"/>
          <w:i w:val="false"/>
          <w:iCs w:val="false"/>
          <w:color w:val="212121"/>
          <w:sz w:val="22"/>
          <w:szCs w:val="22"/>
        </w:rPr>
        <w:t xml:space="preserve">Reference architecture: containerised micro-services on Kubernetes; PostgreSQL primary with logical replication and PITR; object storage (S3-compatible) for documents and evidence; Kafka or RabbitMQ for event bus; Redis for caching; Elasticsearch / OpenSearch for full-text search; Vault for secrets; HSM for key material.</w:t>
      </w:r>
    </w:p>
    <w:p>
      <w:pPr>
        <w:spacing w:after="80" w:before="80" w:line="300"/>
        <w:jc w:val="left"/>
      </w:pPr>
      <w:r>
        <w:rPr>
          <w:rFonts w:ascii="Calibri" w:cs="Calibri" w:eastAsia="Calibri" w:hAnsi="Calibri"/>
          <w:b w:val="false"/>
          <w:bCs w:val="false"/>
          <w:i w:val="false"/>
          <w:iCs w:val="false"/>
          <w:color w:val="212121"/>
          <w:sz w:val="22"/>
          <w:szCs w:val="22"/>
        </w:rPr>
        <w:t xml:space="preserve">Environments: Production, Pre-Production (mirrors prod), UAT (bank-controlled), SIT, Dev. Infrastructure as Code (Terraform); GitOps (Argo CD / Flux); CI / CD with security gates (SAST, SCA, container scan, IaC scan, secret scan).</w:t>
      </w:r>
    </w:p>
    <w:p>
      <w:pPr>
        <w:spacing w:after="80" w:before="80" w:line="300"/>
        <w:jc w:val="left"/>
      </w:pPr>
      <w:r>
        <w:rPr>
          <w:rFonts w:ascii="Calibri" w:cs="Calibri" w:eastAsia="Calibri" w:hAnsi="Calibri"/>
          <w:b w:val="false"/>
          <w:bCs w:val="false"/>
          <w:i w:val="false"/>
          <w:iCs w:val="false"/>
          <w:color w:val="212121"/>
          <w:sz w:val="22"/>
          <w:szCs w:val="22"/>
        </w:rPr>
        <w:t xml:space="preserve">Data sovereignty: personal data of Nigerian data subjects stored in Nigeria. Cross-border processing (e.g., aggregated risk analytics) only where lawful and with NDPC-approved safeguards.</w:t>
      </w:r>
    </w:p>
    <w:p>
      <w:pPr>
        <w:spacing w:after="80" w:before="80" w:line="300"/>
        <w:jc w:val="left"/>
      </w:pPr>
      <w:r>
        <w:rPr>
          <w:rFonts w:ascii="Calibri" w:cs="Calibri" w:eastAsia="Calibri" w:hAnsi="Calibri"/>
          <w:b w:val="false"/>
          <w:bCs w:val="false"/>
          <w:i w:val="false"/>
          <w:iCs w:val="false"/>
          <w:color w:val="212121"/>
          <w:sz w:val="22"/>
          <w:szCs w:val="22"/>
        </w:rPr>
        <w:t xml:space="preserve">Business continuity: active-active Lagos / Abuja with synchronous replication for transactional state and asynchronous for analytics. RTO 4 hours, RPO 15 minutes.</w:t>
      </w:r>
    </w:p>
    <w:p>
      <w:pPr>
        <w:pStyle w:val="Heading1"/>
        <w:pageBreakBefore/>
        <w:spacing w:after="200" w:before="360"/>
      </w:pPr>
      <w:r>
        <w:rPr>
          <w:rFonts w:ascii="Calibri" w:cs="Calibri" w:eastAsia="Calibri" w:hAnsi="Calibri"/>
          <w:b/>
          <w:bCs/>
          <w:color w:val="C8102E"/>
          <w:sz w:val="40"/>
          <w:szCs w:val="40"/>
        </w:rPr>
        <w:t xml:space="preserve">16. Delivery Roadmap</w:t>
      </w:r>
    </w:p>
    <w:p>
      <w:pPr>
        <w:spacing w:after="80" w:before="80" w:line="300"/>
        <w:jc w:val="left"/>
      </w:pPr>
      <w:r>
        <w:rPr>
          <w:rFonts w:ascii="Calibri" w:cs="Calibri" w:eastAsia="Calibri" w:hAnsi="Calibri"/>
          <w:b w:val="false"/>
          <w:bCs w:val="false"/>
          <w:i w:val="false"/>
          <w:iCs w:val="false"/>
          <w:color w:val="212121"/>
          <w:sz w:val="22"/>
          <w:szCs w:val="22"/>
        </w:rPr>
        <w:t xml:space="preserve">The roadmap below is indicative. A detailed plan is produced post BRD sign-off in the Programme Definition Document. The Phase-1 MVP is targeted at six calendar months from kickoff with the seed obligations from Appendix A loaded and traceable end-to-end.</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Phase</w:t>
            </w:r>
          </w:p>
        </w:tc>
        <w:tc>
          <w:tcPr>
            <w:tcW w:type="dxa" w:w="63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Scope and Exit Criteria</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Phase 0 — Mobilisation (Month 0)</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Project kickoff; sign-off on BRD; team mobilisation; environment provisioning; legal and procurement; data protection impact assessment; security architecture review with bank CISO; integration discovery workshops.</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Phase 1 — Foundations (Months 1–6) — MVP go-live</w:t>
            </w:r>
          </w:p>
        </w:tc>
        <w:tc>
          <w:tcPr>
            <w:tcW w:type="dxa" w:w="6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M01 Regulatory Library (seed from Appendix A; manual change-management for first 90 days); M02 Policies; M03 Obligations; M05 Controls (core); M06 KYC / CDD; M07 Sanctions screening; M19 Audit trail; M18 Dashboards (CCO + MLRO + DPO views); IDAM + SSO; CBN, NDIC and NDPC integration shells. Phase-1 exit: any obligation can be traced to a policy, a control and a test result.</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Phase 2 — Financial Crime Depth (Months 7–12)</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M07 PEP and adverse media; M08 Transaction Monitoring (Nigerian-typology rule pack); M09 STR / CTR / goAML integration; M04 BRA + RCSA; M16 Incident management; M11 Consumer complaints; M10 CBN eFASS and FinA returns automation (priority returns).</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Phase 3 — Cross-domain (Months 13–18)</w:t>
            </w:r>
          </w:p>
        </w:tc>
        <w:tc>
          <w:tcPr>
            <w:tcW w:type="dxa" w:w="63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M12 NDPA tooling (RoPA, DPIA, DSR, breach 72h timer); M14 Vendor risk; M15 Training; M13 Whistleblowing; M20 FATCA / CRS; M21 Tax cockpit; M17 Compliance calendar; M22 Conduct surveillance hooks; M23 Open Banking; Regulator-facing portal (Phase 2 of M18).</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Phase 4 — Optimise (Months 19–24)</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ML / behavioural transaction monitoring; alert tuning; predictive false-positive suppression; auto-classification on horizon scanning; expand to subsidiaries (capital markets, insurance, pension).</w:t>
            </w:r>
          </w:p>
        </w:tc>
      </w:tr>
    </w:tbl>
    <w:p>
      <w:pPr>
        <w:pStyle w:val="Heading1"/>
        <w:pageBreakBefore/>
        <w:spacing w:after="200" w:before="360"/>
      </w:pPr>
      <w:r>
        <w:rPr>
          <w:rFonts w:ascii="Calibri" w:cs="Calibri" w:eastAsia="Calibri" w:hAnsi="Calibri"/>
          <w:b/>
          <w:bCs/>
          <w:color w:val="C8102E"/>
          <w:sz w:val="40"/>
          <w:szCs w:val="40"/>
        </w:rPr>
        <w:t xml:space="preserve">17. Risks, Assumptions &amp; Dependencies</w:t>
      </w:r>
    </w:p>
    <w:p>
      <w:pPr>
        <w:pStyle w:val="Heading3"/>
        <w:spacing w:after="100" w:before="200"/>
      </w:pPr>
      <w:r>
        <w:rPr>
          <w:rFonts w:ascii="Calibri" w:cs="Calibri" w:eastAsia="Calibri" w:hAnsi="Calibri"/>
          <w:b/>
          <w:bCs/>
          <w:color w:val="C8102E"/>
          <w:sz w:val="26"/>
          <w:szCs w:val="26"/>
        </w:rPr>
        <w:t xml:space="preserve">17.1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200"/>
        <w:gridCol w:w="1300"/>
        <w:gridCol w:w="2560"/>
      </w:tblGrid>
      <w:tr>
        <w:trPr>
          <w:tblHeader/>
        </w:trPr>
        <w:tc>
          <w:tcPr>
            <w:tcW w:type="dxa" w:w="8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ID</w:t>
            </w:r>
          </w:p>
        </w:tc>
        <w:tc>
          <w:tcPr>
            <w:tcW w:type="dxa" w:w="35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Impact</w:t>
            </w:r>
          </w:p>
        </w:tc>
        <w:tc>
          <w:tcPr>
            <w:tcW w:type="dxa" w:w="13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Likelihood</w:t>
            </w:r>
          </w:p>
        </w:tc>
        <w:tc>
          <w:tcPr>
            <w:tcW w:type="dxa" w:w="25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Mitigation</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R-01</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Regulatory change velocity outpaces platform delivery</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High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Medium</w:t>
            </w:r>
          </w:p>
        </w:tc>
        <w:tc>
          <w:tcPr>
            <w:tcW w:type="dxa" w:w="2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Horizon scanning as Day-1 capability; modular configuration over code; agile delivery with monthly releases.</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R-02</w:t>
            </w:r>
          </w:p>
        </w:tc>
        <w:tc>
          <w:tcPr>
            <w:tcW w:type="dxa" w:w="35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Integration with CBN eFASS / goAML / NIBSS is gated by regulator-issued credentials and bilateral testing</w:t>
            </w:r>
          </w:p>
        </w:tc>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High</w:t>
            </w:r>
          </w:p>
        </w:tc>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High</w:t>
            </w:r>
          </w:p>
        </w:tc>
        <w:tc>
          <w:tcPr>
            <w:tcW w:type="dxa" w:w="2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Initiate credential and testing requests at Phase 0; build emulators for parallel development; sequence go-live by integration readiness.</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R-03</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quality from core banking blocks accurate returns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High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High</w:t>
            </w:r>
          </w:p>
        </w:tc>
        <w:tc>
          <w:tcPr>
            <w:tcW w:type="dxa" w:w="2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Data-quality assessment in Phase 0; remediation backlog co-owned by Bank Data Office; clean-up workstream runs in parallel.</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R-04</w:t>
            </w:r>
          </w:p>
        </w:tc>
        <w:tc>
          <w:tcPr>
            <w:tcW w:type="dxa" w:w="35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Misalignment between platform RBAC and Bank IDAM groups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Medium</w:t>
            </w:r>
          </w:p>
        </w:tc>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Medium</w:t>
            </w:r>
          </w:p>
        </w:tc>
        <w:tc>
          <w:tcPr>
            <w:tcW w:type="dxa" w:w="2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IDAM mapping workshop in Phase 0; named role-to-group SoR maintained by bank IAM team.</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R-05</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NDPA implementation guidance from NDPC is still maturing</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Medium</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High</w:t>
            </w:r>
          </w:p>
        </w:tc>
        <w:tc>
          <w:tcPr>
            <w:tcW w:type="dxa" w:w="2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Engage NDPC-licensed DPCO during build; build configurable thresholds and report templates.</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R-06</w:t>
            </w:r>
          </w:p>
        </w:tc>
        <w:tc>
          <w:tcPr>
            <w:tcW w:type="dxa" w:w="35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Resistance from LOB compliance officers used to spreadsheets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Medium</w:t>
            </w:r>
          </w:p>
        </w:tc>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High</w:t>
            </w:r>
          </w:p>
        </w:tc>
        <w:tc>
          <w:tcPr>
            <w:tcW w:type="dxa" w:w="2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Change management workstream; superuser champions; phased dual-running for 60 days.</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R-07</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Vendor lock-in for sanctions data</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Medium</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Medium</w:t>
            </w:r>
          </w:p>
        </w:tc>
        <w:tc>
          <w:tcPr>
            <w:tcW w:type="dxa" w:w="2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Adapter-pattern integration; secondary vendor on standby; periodic vendor evaluation.</w:t>
            </w:r>
          </w:p>
        </w:tc>
      </w:tr>
      <w:tr>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R-08</w:t>
            </w:r>
          </w:p>
        </w:tc>
        <w:tc>
          <w:tcPr>
            <w:tcW w:type="dxa" w:w="35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Cyber-attack on the platform during go-live</w:t>
            </w:r>
          </w:p>
        </w:tc>
        <w:tc>
          <w:tcPr>
            <w:tcW w:type="dxa" w:w="12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Critical</w:t>
            </w:r>
          </w:p>
        </w:tc>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Medium</w:t>
            </w:r>
          </w:p>
        </w:tc>
        <w:tc>
          <w:tcPr>
            <w:tcW w:type="dxa" w:w="2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Pre-go-live VAPT, red team, CBN cyber-resilience framework alignment; war-game exercises.</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R-09</w:t>
            </w:r>
          </w:p>
        </w:tc>
        <w:tc>
          <w:tcPr>
            <w:tcW w:type="dxa" w:w="3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Personal liability of CCO if STR is inaccurately filed via the platform</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High</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Low</w:t>
            </w:r>
          </w:p>
        </w:tc>
        <w:tc>
          <w:tcPr>
            <w:tcW w:type="dxa" w:w="2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MLRO sign-off mandatory; submission audit log; legal review of indemnity clauses.</w:t>
            </w:r>
          </w:p>
        </w:tc>
      </w:tr>
    </w:tbl>
    <w:p>
      <w:pPr>
        <w:spacing w:before="200"/>
      </w:pPr>
    </w:p>
    <w:p>
      <w:pPr>
        <w:pStyle w:val="Heading3"/>
        <w:spacing w:after="100" w:before="200"/>
      </w:pPr>
      <w:r>
        <w:rPr>
          <w:rFonts w:ascii="Calibri" w:cs="Calibri" w:eastAsia="Calibri" w:hAnsi="Calibri"/>
          <w:b/>
          <w:bCs/>
          <w:color w:val="C8102E"/>
          <w:sz w:val="26"/>
          <w:szCs w:val="26"/>
        </w:rPr>
        <w:t xml:space="preserve">17.2 Assumptions</w:t>
      </w:r>
    </w:p>
    <w:p>
      <w:pPr>
        <w:pStyle w:val="ListParagraph"/>
        <w:numPr>
          <w:ilvl w:val="0"/>
          <w:numId w:val="2"/>
        </w:numPr>
        <w:spacing w:after="40" w:before="40" w:line="280"/>
      </w:pPr>
      <w:r>
        <w:rPr>
          <w:rFonts w:ascii="Calibri" w:cs="Calibri" w:eastAsia="Calibri" w:hAnsi="Calibri"/>
          <w:color w:val="212121"/>
          <w:sz w:val="22"/>
          <w:szCs w:val="22"/>
        </w:rPr>
        <w:t xml:space="preserve">The bank operates a CBN-licensed commercial banking, merchant banking, non-interest banking, microfinance, payment service banking or holding-company structure; if a holding company, subsidiaries in capital markets, insurance and pensions are in scope.</w:t>
      </w:r>
    </w:p>
    <w:p>
      <w:pPr>
        <w:pStyle w:val="ListParagraph"/>
        <w:numPr>
          <w:ilvl w:val="0"/>
          <w:numId w:val="2"/>
        </w:numPr>
        <w:spacing w:after="40" w:before="40" w:line="280"/>
      </w:pPr>
      <w:r>
        <w:rPr>
          <w:rFonts w:ascii="Calibri" w:cs="Calibri" w:eastAsia="Calibri" w:hAnsi="Calibri"/>
          <w:color w:val="212121"/>
          <w:sz w:val="22"/>
          <w:szCs w:val="22"/>
        </w:rPr>
        <w:t xml:space="preserve">The bank has a functioning core banking system, a data warehouse / lake, an IDAM, an SIEM, and an existing AML engine — though replacement of the AML engine is an option in Phase 2.</w:t>
      </w:r>
    </w:p>
    <w:p>
      <w:pPr>
        <w:pStyle w:val="ListParagraph"/>
        <w:numPr>
          <w:ilvl w:val="0"/>
          <w:numId w:val="2"/>
        </w:numPr>
        <w:spacing w:after="40" w:before="40" w:line="280"/>
      </w:pPr>
      <w:r>
        <w:rPr>
          <w:rFonts w:ascii="Calibri" w:cs="Calibri" w:eastAsia="Calibri" w:hAnsi="Calibri"/>
          <w:color w:val="212121"/>
          <w:sz w:val="22"/>
          <w:szCs w:val="22"/>
        </w:rPr>
        <w:t xml:space="preserve">NIBSS, NIMC and CAC APIs continue to be available on commercial terms.</w:t>
      </w:r>
    </w:p>
    <w:p>
      <w:pPr>
        <w:pStyle w:val="ListParagraph"/>
        <w:numPr>
          <w:ilvl w:val="0"/>
          <w:numId w:val="2"/>
        </w:numPr>
        <w:spacing w:after="40" w:before="40" w:line="280"/>
      </w:pPr>
      <w:r>
        <w:rPr>
          <w:rFonts w:ascii="Calibri" w:cs="Calibri" w:eastAsia="Calibri" w:hAnsi="Calibri"/>
          <w:color w:val="212121"/>
          <w:sz w:val="22"/>
          <w:szCs w:val="22"/>
        </w:rPr>
        <w:t xml:space="preserve">NDPA implementation directives published by NDPC up to BRD sign-off date are reflected; subsequent directives will be tracked via M01.</w:t>
      </w:r>
    </w:p>
    <w:p>
      <w:pPr>
        <w:pStyle w:val="ListParagraph"/>
        <w:numPr>
          <w:ilvl w:val="0"/>
          <w:numId w:val="2"/>
        </w:numPr>
        <w:spacing w:after="40" w:before="40" w:line="280"/>
      </w:pPr>
      <w:r>
        <w:rPr>
          <w:rFonts w:ascii="Calibri" w:cs="Calibri" w:eastAsia="Calibri" w:hAnsi="Calibri"/>
          <w:color w:val="212121"/>
          <w:sz w:val="22"/>
          <w:szCs w:val="22"/>
        </w:rPr>
        <w:t xml:space="preserve">CBN cybersecurity framework will be aligned to NIST CSF 2.0 (CBN consultation issued 2024).</w:t>
      </w:r>
    </w:p>
    <w:p>
      <w:pPr>
        <w:pStyle w:val="ListParagraph"/>
        <w:numPr>
          <w:ilvl w:val="0"/>
          <w:numId w:val="2"/>
        </w:numPr>
        <w:spacing w:after="40" w:before="40" w:line="280"/>
      </w:pPr>
      <w:r>
        <w:rPr>
          <w:rFonts w:ascii="Calibri" w:cs="Calibri" w:eastAsia="Calibri" w:hAnsi="Calibri"/>
          <w:color w:val="212121"/>
          <w:sz w:val="22"/>
          <w:szCs w:val="22"/>
        </w:rPr>
        <w:t xml:space="preserve">Naira-denominated processing is primary; FX in USD, EUR, GBP, JPY, ZAR, ZAR, GHS, XOF supported.</w:t>
      </w:r>
    </w:p>
    <w:p>
      <w:pPr>
        <w:pStyle w:val="Heading1"/>
        <w:pageBreakBefore/>
        <w:spacing w:after="200" w:before="360"/>
      </w:pPr>
      <w:r>
        <w:rPr>
          <w:rFonts w:ascii="Calibri" w:cs="Calibri" w:eastAsia="Calibri" w:hAnsi="Calibri"/>
          <w:b/>
          <w:bCs/>
          <w:color w:val="C8102E"/>
          <w:sz w:val="40"/>
          <w:szCs w:val="40"/>
        </w:rP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Term</w:t>
            </w:r>
          </w:p>
        </w:tc>
        <w:tc>
          <w:tcPr>
            <w:tcW w:type="dxa" w:w="75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Meaning</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AML</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Anti-Money Laundering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BOFIA</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Banks and Other Financial Institutions Act 2020</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BVN</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Bank Verification Number, the Nigerian inter-bank biometric identifier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CAMA</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Companies and Allied Matters Act 2020</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Central Bank of Nigeria</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CCO</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Chief Compliance Officer</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CDD</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Customer Due Diligence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CFT</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Combating the Financing of Terrorism</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CPF</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Combating the Financing of Proliferation of weapons of mass destruction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CTR</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Currency Transaction Report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CDR</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Currency Declaration Report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CRR</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Customer Risk Rating; also Cash Reserve Ratio in another context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DMB</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Deposit Money Bank</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DPO</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Protection Officer</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DPIA</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Data Protection Impact Assessment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EDD</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Enhanced Due Diligence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EMTL</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Electronic Money Transfer Levy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FATF</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Action Task Force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FCCPA</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Federal Competition and Consumer Protection Act 2018</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FIRS</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Federal Inland Revenue Service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GIABA</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Inter-Governmental Action Group against Money Laundering in West Africa</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goAML</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UNODC platform used by NFIU for receiving STR / CTR</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KCI</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Key Control Indicator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KRI</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Key Risk Indicator</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MLRO</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Money Laundering Reporting Officer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NDIC</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Deposit Insurance Corporation</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NDPA</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Data Protection Act 2023</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NDPC</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Data Protection Commission</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NFIU</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Nigerian Financial Intelligence Unit</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NGX</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Nigerian Exchange Limited</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NIBSS</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Inter-Bank Settlement System</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NIMC</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National Identity Management Commission</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NIN</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National Identification Number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OFI</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Other Financial Institution</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PEP</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Politically Exposed Person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PSB</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Payment Service Bank</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PSC</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Person with Significant Control (CAMA 2020 BO register)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RBS</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Risk-Based Supervision</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RoPA</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Record of Processing Activities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SCUML</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Special Control Unit Against Money Laundering</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Securities and Exchange Commission, Nigeria</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STR</w:t>
            </w:r>
          </w:p>
        </w:tc>
        <w:tc>
          <w:tcPr>
            <w:tcW w:type="dxa" w:w="75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Suspicious Transaction Report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TIN</w:t>
            </w:r>
          </w:p>
        </w:tc>
        <w:tc>
          <w:tcPr>
            <w:tcW w:type="dxa" w:w="75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Tax Identification Number</w:t>
            </w:r>
          </w:p>
        </w:tc>
      </w:tr>
    </w:tbl>
    <w:p>
      <w:pPr>
        <w:pStyle w:val="Heading1"/>
        <w:pageBreakBefore/>
        <w:spacing w:after="200" w:before="360"/>
      </w:pPr>
      <w:r>
        <w:rPr>
          <w:rFonts w:ascii="Calibri" w:cs="Calibri" w:eastAsia="Calibri" w:hAnsi="Calibri"/>
          <w:b/>
          <w:bCs/>
          <w:color w:val="C8102E"/>
          <w:sz w:val="40"/>
          <w:szCs w:val="40"/>
        </w:rPr>
        <w:t xml:space="preserve">Appendix A — Seed Regulatory Universe (from BCC.CHNW Reg Universe)</w:t>
      </w:r>
    </w:p>
    <w:p>
      <w:pPr>
        <w:spacing w:after="80" w:before="80" w:line="300"/>
        <w:jc w:val="left"/>
      </w:pPr>
      <w:r>
        <w:rPr>
          <w:rFonts w:ascii="Calibri" w:cs="Calibri" w:eastAsia="Calibri" w:hAnsi="Calibri"/>
          <w:b w:val="false"/>
          <w:bCs w:val="false"/>
          <w:i w:val="false"/>
          <w:iCs w:val="false"/>
          <w:color w:val="212121"/>
          <w:sz w:val="22"/>
          <w:szCs w:val="22"/>
        </w:rPr>
        <w:t xml:space="preserve">The table below is the seed obligation inventory the platform will load on Day 1. It is sourced from the user's existing BCC.CHNW Regulatory Universe spreadsheet. Theme, Category (Core / Ancillary) and Overall Rating (H / M / L) follow the user's existing risk-rating methodology. The platform extends this taxonomy with additional fields per FR1.1 once obligations are decomposed.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900"/>
        <w:gridCol w:w="900"/>
        <w:gridCol w:w="800"/>
      </w:tblGrid>
      <w:tr>
        <w:trPr>
          <w:tblHeader/>
        </w:trPr>
        <w:tc>
          <w:tcPr>
            <w:tcW w:type="dxa" w:w="6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Ref</w:t>
            </w:r>
          </w:p>
        </w:tc>
        <w:tc>
          <w:tcPr>
            <w:tcW w:type="dxa" w:w="51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Name of Compliance Requirement</w:t>
            </w:r>
          </w:p>
        </w:tc>
        <w:tc>
          <w:tcPr>
            <w:tcW w:type="dxa" w:w="19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Theme</w:t>
            </w:r>
          </w:p>
        </w:tc>
        <w:tc>
          <w:tcPr>
            <w:tcW w:type="dxa" w:w="9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Category</w:t>
            </w:r>
          </w:p>
        </w:tc>
        <w:tc>
          <w:tcPr>
            <w:tcW w:type="dxa" w:w="8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Rating</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TERRORISM (PREVENTION) (AMENDMENT) ACT  2022</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Crime Compliance</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TERRORISM PREVENTION  (FREEZING OF INTERNATIONAL TERRORIST FUNDS AND OTHER RELATED MEASURES) REGULATIONS 2013</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Crime Compliance</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FOREIGN EXCHANGE (MONITORING &amp;MISCELLANEOUS PROVISIONS) ACT,1995</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4</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COMPANIES AND ALLIED MATTERS ACT, 2020</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5</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 FINANCIAL INTELLIGENCE UNIT (NFIU) ACT, 2017</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6</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VALUE ADDED TAX (VAT) LFN 2004</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7</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ADVANCED FEE FRAUD ACT 2006</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Crime Compliance</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8</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ECONOMIC AND FINANCIAL CRIMES COMMISSION ACT 2004</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Crime Compliance</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9</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CAPITAL GAINS TAX ACT LFN 2004</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10</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BANKS AND OTHER FINANCIAL INSTITUTIONS ACT 2020</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11</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CONSUMER PROTECTION COUNCIL ACT 1992</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Client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12</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FOREIGN ACCOUNT TAX COMPLIANCE ACT 2010</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13</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MANDATORY USE OF THE NATIONAL IDENTIFICATION NUMBER (NIN) REGULATIONS, 2017</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14</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 RULES AND REGULATIONS 2013</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Client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15</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 ACT 2007</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16</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THE  CORRUPT PRACTICES AND OTHER RELATED OFFENCES ACT 2000</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Client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17</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 AML &amp; CFT (ADMINISTRATIVE SANCTIONS) REGULATIONS, 2018</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18</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REVISED GUIDE TO BANK CHARGES 2019</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Client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19</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NATIONAL OFFICE FOR TECHNOLOGY ACQUISITION AND PROMOTION ACT LFN 2004</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20</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 AML/CFT/CPF Regulation 2022</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Crime Compliance</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21</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REGULATORY FRAMEWORK FOR BANK VERIFICATION NUMBER (BVN) OPERATIONS AND WATCH-LIST FOR THE NIGERIAN BANKING INDUSTRY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22</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REGULATORY FRAMEWORK FOR THE USE OF UNSTRUCTURED SUPPLEMENTARY SERVICE DATA (USSD) IN THE NIGERIAN FINANCIAL SYSTEM</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23</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CBN'S REVISED FOREIGN EXCHANGE MANUAL 2018   (MADE PURSUANT TO THE FX ACT)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24</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CBN'S PRUDENTIAL GUIDELINES FOR THE MANAGEMENT OF FOREIGN EXCHANGE RISKS OF BANKS 2014</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25</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CONSUMER PROTECTION FRAMEWORK 2016</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Client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26</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CONSUMER PROTECTION REGULATIONS 2019</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Client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27</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MONEY LAUNDERING PREVENTION &amp; PROHIBITION ACT  2022</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Crime Compliance</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28</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FEDERAL COMPETITION AND CONSUMER PROTECTION ACT, 2018</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29</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FINANCE ACT 2021</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M</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30</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REGULATORY FRAMEWORK FOR OPEN BANKING IN NIGERIA DEC 2020</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Client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31</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Regulatory Framework and Guidelines for Mobile Money Services in Nigeria</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32</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The Proceeds of Crime (Receovery and Management ) ACT  2022</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Crime Compliance</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33</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SECURITIES AND EXCHANGE COMMISSION (CAPITAL MARKET OPERATORS ANTI-MONEY LAUNDERING AND COMBATING THE FINANCING OF TERRORISM) REGULATIONS, 2022</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Financial Crime Compliance</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34</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ELECTRONIC MONEY TRANSFER LEVY REGULATIONS 2022</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H</w:t>
            </w:r>
          </w:p>
        </w:tc>
      </w:tr>
      <w:tr>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35</w:t>
            </w:r>
          </w:p>
        </w:tc>
        <w:tc>
          <w:tcPr>
            <w:tcW w:type="dxa" w:w="51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FACILITATION (MISCELLANEOUS PROVISIONS) ACT 2023</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Business Conduct</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Core</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36</w:t>
            </w:r>
          </w:p>
        </w:tc>
        <w:tc>
          <w:tcPr>
            <w:tcW w:type="dxa" w:w="51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NIGERIAN CUSTOMS SERVICE ACT 2023</w:t>
            </w:r>
          </w:p>
        </w:tc>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Ancillary</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w:t>
            </w:r>
          </w:p>
        </w:tc>
      </w:tr>
    </w:tbl>
    <w:p>
      <w:pPr>
        <w:pStyle w:val="Heading1"/>
        <w:pageBreakBefore/>
        <w:spacing w:after="200" w:before="360"/>
      </w:pPr>
      <w:r>
        <w:rPr>
          <w:rFonts w:ascii="Calibri" w:cs="Calibri" w:eastAsia="Calibri" w:hAnsi="Calibri"/>
          <w:b/>
          <w:bCs/>
          <w:color w:val="C8102E"/>
          <w:sz w:val="40"/>
          <w:szCs w:val="40"/>
        </w:rPr>
        <w:t xml:space="preserve">Appendix B — Reference Standards &amp; Frameworks</w:t>
      </w:r>
    </w:p>
    <w:p>
      <w:pPr>
        <w:pStyle w:val="ListParagraph"/>
        <w:numPr>
          <w:ilvl w:val="0"/>
          <w:numId w:val="2"/>
        </w:numPr>
        <w:spacing w:after="40" w:before="40" w:line="280"/>
      </w:pPr>
      <w:r>
        <w:rPr>
          <w:rFonts w:ascii="Calibri" w:cs="Calibri" w:eastAsia="Calibri" w:hAnsi="Calibri"/>
          <w:color w:val="212121"/>
          <w:sz w:val="22"/>
          <w:szCs w:val="22"/>
        </w:rPr>
        <w:t xml:space="preserve">BOFIA 2020 — Banks and Other Financial Institutions Act</w:t>
      </w:r>
    </w:p>
    <w:p>
      <w:pPr>
        <w:pStyle w:val="ListParagraph"/>
        <w:numPr>
          <w:ilvl w:val="0"/>
          <w:numId w:val="2"/>
        </w:numPr>
        <w:spacing w:after="40" w:before="40" w:line="280"/>
      </w:pPr>
      <w:r>
        <w:rPr>
          <w:rFonts w:ascii="Calibri" w:cs="Calibri" w:eastAsia="Calibri" w:hAnsi="Calibri"/>
          <w:color w:val="212121"/>
          <w:sz w:val="22"/>
          <w:szCs w:val="22"/>
        </w:rPr>
        <w:t xml:space="preserve">CAMA 2020 — Companies and Allied Matters Act</w:t>
      </w:r>
    </w:p>
    <w:p>
      <w:pPr>
        <w:pStyle w:val="ListParagraph"/>
        <w:numPr>
          <w:ilvl w:val="0"/>
          <w:numId w:val="2"/>
        </w:numPr>
        <w:spacing w:after="40" w:before="40" w:line="280"/>
      </w:pPr>
      <w:r>
        <w:rPr>
          <w:rFonts w:ascii="Calibri" w:cs="Calibri" w:eastAsia="Calibri" w:hAnsi="Calibri"/>
          <w:color w:val="212121"/>
          <w:sz w:val="22"/>
          <w:szCs w:val="22"/>
        </w:rPr>
        <w:t xml:space="preserve">CBN Act 2007</w:t>
      </w:r>
    </w:p>
    <w:p>
      <w:pPr>
        <w:pStyle w:val="ListParagraph"/>
        <w:numPr>
          <w:ilvl w:val="0"/>
          <w:numId w:val="2"/>
        </w:numPr>
        <w:spacing w:after="40" w:before="40" w:line="280"/>
      </w:pPr>
      <w:r>
        <w:rPr>
          <w:rFonts w:ascii="Calibri" w:cs="Calibri" w:eastAsia="Calibri" w:hAnsi="Calibri"/>
          <w:color w:val="212121"/>
          <w:sz w:val="22"/>
          <w:szCs w:val="22"/>
        </w:rPr>
        <w:t xml:space="preserve">CBN AML/CFT/CPF Regulation 2022</w:t>
      </w:r>
    </w:p>
    <w:p>
      <w:pPr>
        <w:pStyle w:val="ListParagraph"/>
        <w:numPr>
          <w:ilvl w:val="0"/>
          <w:numId w:val="2"/>
        </w:numPr>
        <w:spacing w:after="40" w:before="40" w:line="280"/>
      </w:pPr>
      <w:r>
        <w:rPr>
          <w:rFonts w:ascii="Calibri" w:cs="Calibri" w:eastAsia="Calibri" w:hAnsi="Calibri"/>
          <w:color w:val="212121"/>
          <w:sz w:val="22"/>
          <w:szCs w:val="22"/>
        </w:rPr>
        <w:t xml:space="preserve">CBN Consumer Protection Framework 2016 and Consumer Protection Regulations 2019</w:t>
      </w:r>
    </w:p>
    <w:p>
      <w:pPr>
        <w:pStyle w:val="ListParagraph"/>
        <w:numPr>
          <w:ilvl w:val="0"/>
          <w:numId w:val="2"/>
        </w:numPr>
        <w:spacing w:after="40" w:before="40" w:line="280"/>
      </w:pPr>
      <w:r>
        <w:rPr>
          <w:rFonts w:ascii="Calibri" w:cs="Calibri" w:eastAsia="Calibri" w:hAnsi="Calibri"/>
          <w:color w:val="212121"/>
          <w:sz w:val="22"/>
          <w:szCs w:val="22"/>
        </w:rPr>
        <w:t xml:space="preserve">CBN Cybersecurity Framework for DMBs and PSBs 2022</w:t>
      </w:r>
    </w:p>
    <w:p>
      <w:pPr>
        <w:pStyle w:val="ListParagraph"/>
        <w:numPr>
          <w:ilvl w:val="0"/>
          <w:numId w:val="2"/>
        </w:numPr>
        <w:spacing w:after="40" w:before="40" w:line="280"/>
      </w:pPr>
      <w:r>
        <w:rPr>
          <w:rFonts w:ascii="Calibri" w:cs="Calibri" w:eastAsia="Calibri" w:hAnsi="Calibri"/>
          <w:color w:val="212121"/>
          <w:sz w:val="22"/>
          <w:szCs w:val="22"/>
        </w:rPr>
        <w:t xml:space="preserve">CBN Regulatory Framework for BVN Operations and Watch-list</w:t>
      </w:r>
    </w:p>
    <w:p>
      <w:pPr>
        <w:pStyle w:val="ListParagraph"/>
        <w:numPr>
          <w:ilvl w:val="0"/>
          <w:numId w:val="2"/>
        </w:numPr>
        <w:spacing w:after="40" w:before="40" w:line="280"/>
      </w:pPr>
      <w:r>
        <w:rPr>
          <w:rFonts w:ascii="Calibri" w:cs="Calibri" w:eastAsia="Calibri" w:hAnsi="Calibri"/>
          <w:color w:val="212121"/>
          <w:sz w:val="22"/>
          <w:szCs w:val="22"/>
        </w:rPr>
        <w:t xml:space="preserve">CBN Three-Tiered KYC Regulation</w:t>
      </w:r>
    </w:p>
    <w:p>
      <w:pPr>
        <w:pStyle w:val="ListParagraph"/>
        <w:numPr>
          <w:ilvl w:val="0"/>
          <w:numId w:val="2"/>
        </w:numPr>
        <w:spacing w:after="40" w:before="40" w:line="280"/>
      </w:pPr>
      <w:r>
        <w:rPr>
          <w:rFonts w:ascii="Calibri" w:cs="Calibri" w:eastAsia="Calibri" w:hAnsi="Calibri"/>
          <w:color w:val="212121"/>
          <w:sz w:val="22"/>
          <w:szCs w:val="22"/>
        </w:rPr>
        <w:t xml:space="preserve">CBN Regulatory Framework for Open Banking 2023</w:t>
      </w:r>
    </w:p>
    <w:p>
      <w:pPr>
        <w:pStyle w:val="ListParagraph"/>
        <w:numPr>
          <w:ilvl w:val="0"/>
          <w:numId w:val="2"/>
        </w:numPr>
        <w:spacing w:after="40" w:before="40" w:line="280"/>
      </w:pPr>
      <w:r>
        <w:rPr>
          <w:rFonts w:ascii="Calibri" w:cs="Calibri" w:eastAsia="Calibri" w:hAnsi="Calibri"/>
          <w:color w:val="212121"/>
          <w:sz w:val="22"/>
          <w:szCs w:val="22"/>
        </w:rPr>
        <w:t xml:space="preserve">CBN Guide to Charges by Banks, OFIs and Non-Bank Financial Institutions</w:t>
      </w:r>
    </w:p>
    <w:p>
      <w:pPr>
        <w:pStyle w:val="ListParagraph"/>
        <w:numPr>
          <w:ilvl w:val="0"/>
          <w:numId w:val="2"/>
        </w:numPr>
        <w:spacing w:after="40" w:before="40" w:line="280"/>
      </w:pPr>
      <w:r>
        <w:rPr>
          <w:rFonts w:ascii="Calibri" w:cs="Calibri" w:eastAsia="Calibri" w:hAnsi="Calibri"/>
          <w:color w:val="212121"/>
          <w:sz w:val="22"/>
          <w:szCs w:val="22"/>
        </w:rPr>
        <w:t xml:space="preserve">CBN Standards for Outsourcing of Banking and OFI Services</w:t>
      </w:r>
    </w:p>
    <w:p>
      <w:pPr>
        <w:pStyle w:val="ListParagraph"/>
        <w:numPr>
          <w:ilvl w:val="0"/>
          <w:numId w:val="2"/>
        </w:numPr>
        <w:spacing w:after="40" w:before="40" w:line="280"/>
      </w:pPr>
      <w:r>
        <w:rPr>
          <w:rFonts w:ascii="Calibri" w:cs="Calibri" w:eastAsia="Calibri" w:hAnsi="Calibri"/>
          <w:color w:val="212121"/>
          <w:sz w:val="22"/>
          <w:szCs w:val="22"/>
        </w:rPr>
        <w:t xml:space="preserve">Money Laundering (Prevention and Prohibition) Act 2022</w:t>
      </w:r>
    </w:p>
    <w:p>
      <w:pPr>
        <w:pStyle w:val="ListParagraph"/>
        <w:numPr>
          <w:ilvl w:val="0"/>
          <w:numId w:val="2"/>
        </w:numPr>
        <w:spacing w:after="40" w:before="40" w:line="280"/>
      </w:pPr>
      <w:r>
        <w:rPr>
          <w:rFonts w:ascii="Calibri" w:cs="Calibri" w:eastAsia="Calibri" w:hAnsi="Calibri"/>
          <w:color w:val="212121"/>
          <w:sz w:val="22"/>
          <w:szCs w:val="22"/>
        </w:rPr>
        <w:t xml:space="preserve">Terrorism (Prevention and Prohibition) Act 2022</w:t>
      </w:r>
    </w:p>
    <w:p>
      <w:pPr>
        <w:pStyle w:val="ListParagraph"/>
        <w:numPr>
          <w:ilvl w:val="0"/>
          <w:numId w:val="2"/>
        </w:numPr>
        <w:spacing w:after="40" w:before="40" w:line="280"/>
      </w:pPr>
      <w:r>
        <w:rPr>
          <w:rFonts w:ascii="Calibri" w:cs="Calibri" w:eastAsia="Calibri" w:hAnsi="Calibri"/>
          <w:color w:val="212121"/>
          <w:sz w:val="22"/>
          <w:szCs w:val="22"/>
        </w:rPr>
        <w:t xml:space="preserve">Proceeds of Crime (Recovery and Management) Act 2022</w:t>
      </w:r>
    </w:p>
    <w:p>
      <w:pPr>
        <w:pStyle w:val="ListParagraph"/>
        <w:numPr>
          <w:ilvl w:val="0"/>
          <w:numId w:val="2"/>
        </w:numPr>
        <w:spacing w:after="40" w:before="40" w:line="280"/>
      </w:pPr>
      <w:r>
        <w:rPr>
          <w:rFonts w:ascii="Calibri" w:cs="Calibri" w:eastAsia="Calibri" w:hAnsi="Calibri"/>
          <w:color w:val="212121"/>
          <w:sz w:val="22"/>
          <w:szCs w:val="22"/>
        </w:rPr>
        <w:t xml:space="preserve">EFCC Establishment Act 2004 and Advance Fee Fraud Act 2006</w:t>
      </w:r>
    </w:p>
    <w:p>
      <w:pPr>
        <w:pStyle w:val="ListParagraph"/>
        <w:numPr>
          <w:ilvl w:val="0"/>
          <w:numId w:val="2"/>
        </w:numPr>
        <w:spacing w:after="40" w:before="40" w:line="280"/>
      </w:pPr>
      <w:r>
        <w:rPr>
          <w:rFonts w:ascii="Calibri" w:cs="Calibri" w:eastAsia="Calibri" w:hAnsi="Calibri"/>
          <w:color w:val="212121"/>
          <w:sz w:val="22"/>
          <w:szCs w:val="22"/>
        </w:rPr>
        <w:t xml:space="preserve">Independent Corrupt Practices and Other Related Offences Act 2000</w:t>
      </w:r>
    </w:p>
    <w:p>
      <w:pPr>
        <w:pStyle w:val="ListParagraph"/>
        <w:numPr>
          <w:ilvl w:val="0"/>
          <w:numId w:val="2"/>
        </w:numPr>
        <w:spacing w:after="40" w:before="40" w:line="280"/>
      </w:pPr>
      <w:r>
        <w:rPr>
          <w:rFonts w:ascii="Calibri" w:cs="Calibri" w:eastAsia="Calibri" w:hAnsi="Calibri"/>
          <w:color w:val="212121"/>
          <w:sz w:val="22"/>
          <w:szCs w:val="22"/>
        </w:rPr>
        <w:t xml:space="preserve">Nigeria Data Protection Act (NDPA) 2023; NDPR 2019 and NDPC directives</w:t>
      </w:r>
    </w:p>
    <w:p>
      <w:pPr>
        <w:pStyle w:val="ListParagraph"/>
        <w:numPr>
          <w:ilvl w:val="0"/>
          <w:numId w:val="2"/>
        </w:numPr>
        <w:spacing w:after="40" w:before="40" w:line="280"/>
      </w:pPr>
      <w:r>
        <w:rPr>
          <w:rFonts w:ascii="Calibri" w:cs="Calibri" w:eastAsia="Calibri" w:hAnsi="Calibri"/>
          <w:color w:val="212121"/>
          <w:sz w:val="22"/>
          <w:szCs w:val="22"/>
        </w:rPr>
        <w:t xml:space="preserve">NITDA Act 2007 and NITDA Cybersecurity guidance</w:t>
      </w:r>
    </w:p>
    <w:p>
      <w:pPr>
        <w:pStyle w:val="ListParagraph"/>
        <w:numPr>
          <w:ilvl w:val="0"/>
          <w:numId w:val="2"/>
        </w:numPr>
        <w:spacing w:after="40" w:before="40" w:line="280"/>
      </w:pPr>
      <w:r>
        <w:rPr>
          <w:rFonts w:ascii="Calibri" w:cs="Calibri" w:eastAsia="Calibri" w:hAnsi="Calibri"/>
          <w:color w:val="212121"/>
          <w:sz w:val="22"/>
          <w:szCs w:val="22"/>
        </w:rPr>
        <w:t xml:space="preserve">SEC Rules and SEC AML/CFT (Capital Market Operators) Regulations 2022</w:t>
      </w:r>
    </w:p>
    <w:p>
      <w:pPr>
        <w:pStyle w:val="ListParagraph"/>
        <w:numPr>
          <w:ilvl w:val="0"/>
          <w:numId w:val="2"/>
        </w:numPr>
        <w:spacing w:after="40" w:before="40" w:line="280"/>
      </w:pPr>
      <w:r>
        <w:rPr>
          <w:rFonts w:ascii="Calibri" w:cs="Calibri" w:eastAsia="Calibri" w:hAnsi="Calibri"/>
          <w:color w:val="212121"/>
          <w:sz w:val="22"/>
          <w:szCs w:val="22"/>
        </w:rPr>
        <w:t xml:space="preserve">NGX Rulebook; FMDQ Rulebook</w:t>
      </w:r>
    </w:p>
    <w:p>
      <w:pPr>
        <w:pStyle w:val="ListParagraph"/>
        <w:numPr>
          <w:ilvl w:val="0"/>
          <w:numId w:val="2"/>
        </w:numPr>
        <w:spacing w:after="40" w:before="40" w:line="280"/>
      </w:pPr>
      <w:r>
        <w:rPr>
          <w:rFonts w:ascii="Calibri" w:cs="Calibri" w:eastAsia="Calibri" w:hAnsi="Calibri"/>
          <w:color w:val="212121"/>
          <w:sz w:val="22"/>
          <w:szCs w:val="22"/>
        </w:rPr>
        <w:t xml:space="preserve">Pension Reform Act 2014 and PenCom RBS Framework</w:t>
      </w:r>
    </w:p>
    <w:p>
      <w:pPr>
        <w:pStyle w:val="ListParagraph"/>
        <w:numPr>
          <w:ilvl w:val="0"/>
          <w:numId w:val="2"/>
        </w:numPr>
        <w:spacing w:after="40" w:before="40" w:line="280"/>
      </w:pPr>
      <w:r>
        <w:rPr>
          <w:rFonts w:ascii="Calibri" w:cs="Calibri" w:eastAsia="Calibri" w:hAnsi="Calibri"/>
          <w:color w:val="212121"/>
          <w:sz w:val="22"/>
          <w:szCs w:val="22"/>
        </w:rPr>
        <w:t xml:space="preserve">Insurance Act 2003 and NAICOM Operational Guidelines</w:t>
      </w:r>
    </w:p>
    <w:p>
      <w:pPr>
        <w:pStyle w:val="ListParagraph"/>
        <w:numPr>
          <w:ilvl w:val="0"/>
          <w:numId w:val="2"/>
        </w:numPr>
        <w:spacing w:after="40" w:before="40" w:line="280"/>
      </w:pPr>
      <w:r>
        <w:rPr>
          <w:rFonts w:ascii="Calibri" w:cs="Calibri" w:eastAsia="Calibri" w:hAnsi="Calibri"/>
          <w:color w:val="212121"/>
          <w:sz w:val="22"/>
          <w:szCs w:val="22"/>
        </w:rPr>
        <w:t xml:space="preserve">Federal Competition and Consumer Protection Act 2018</w:t>
      </w:r>
    </w:p>
    <w:p>
      <w:pPr>
        <w:pStyle w:val="ListParagraph"/>
        <w:numPr>
          <w:ilvl w:val="0"/>
          <w:numId w:val="2"/>
        </w:numPr>
        <w:spacing w:after="40" w:before="40" w:line="280"/>
      </w:pPr>
      <w:r>
        <w:rPr>
          <w:rFonts w:ascii="Calibri" w:cs="Calibri" w:eastAsia="Calibri" w:hAnsi="Calibri"/>
          <w:color w:val="212121"/>
          <w:sz w:val="22"/>
          <w:szCs w:val="22"/>
        </w:rPr>
        <w:t xml:space="preserve">Electronic Money Transfer Levy Regulations 2022</w:t>
      </w:r>
    </w:p>
    <w:p>
      <w:pPr>
        <w:pStyle w:val="ListParagraph"/>
        <w:numPr>
          <w:ilvl w:val="0"/>
          <w:numId w:val="2"/>
        </w:numPr>
        <w:spacing w:after="40" w:before="40" w:line="280"/>
      </w:pPr>
      <w:r>
        <w:rPr>
          <w:rFonts w:ascii="Calibri" w:cs="Calibri" w:eastAsia="Calibri" w:hAnsi="Calibri"/>
          <w:color w:val="212121"/>
          <w:sz w:val="22"/>
          <w:szCs w:val="22"/>
        </w:rPr>
        <w:t xml:space="preserve">FATCA Inter-Governmental Agreement and CRS Regulations</w:t>
      </w:r>
    </w:p>
    <w:p>
      <w:pPr>
        <w:pStyle w:val="ListParagraph"/>
        <w:numPr>
          <w:ilvl w:val="0"/>
          <w:numId w:val="2"/>
        </w:numPr>
        <w:spacing w:after="40" w:before="40" w:line="280"/>
      </w:pPr>
      <w:r>
        <w:rPr>
          <w:rFonts w:ascii="Calibri" w:cs="Calibri" w:eastAsia="Calibri" w:hAnsi="Calibri"/>
          <w:color w:val="212121"/>
          <w:sz w:val="22"/>
          <w:szCs w:val="22"/>
        </w:rPr>
        <w:t xml:space="preserve">FATF 40 Recommendations and GIABA Mutual Evaluation Reports</w:t>
      </w:r>
    </w:p>
    <w:p>
      <w:pPr>
        <w:pStyle w:val="ListParagraph"/>
        <w:numPr>
          <w:ilvl w:val="0"/>
          <w:numId w:val="2"/>
        </w:numPr>
        <w:spacing w:after="40" w:before="40" w:line="280"/>
      </w:pPr>
      <w:r>
        <w:rPr>
          <w:rFonts w:ascii="Calibri" w:cs="Calibri" w:eastAsia="Calibri" w:hAnsi="Calibri"/>
          <w:color w:val="212121"/>
          <w:sz w:val="22"/>
          <w:szCs w:val="22"/>
        </w:rPr>
        <w:t xml:space="preserve">ISO 27001:2022; NIST CSF 2.0; PCI-DSS 4.0; SOC 2 Trust Services Criteria</w:t>
      </w:r>
    </w:p>
    <w:p>
      <w:pPr>
        <w:pStyle w:val="ListParagraph"/>
        <w:numPr>
          <w:ilvl w:val="0"/>
          <w:numId w:val="2"/>
        </w:numPr>
        <w:spacing w:after="40" w:before="40" w:line="280"/>
      </w:pPr>
      <w:r>
        <w:rPr>
          <w:rFonts w:ascii="Calibri" w:cs="Calibri" w:eastAsia="Calibri" w:hAnsi="Calibri"/>
          <w:color w:val="212121"/>
          <w:sz w:val="22"/>
          <w:szCs w:val="22"/>
        </w:rPr>
        <w:t xml:space="preserve">OECD Common Reporting Standard XML schema</w:t>
      </w:r>
    </w:p>
    <w:p>
      <w:pPr>
        <w:pStyle w:val="ListParagraph"/>
        <w:numPr>
          <w:ilvl w:val="0"/>
          <w:numId w:val="2"/>
        </w:numPr>
        <w:spacing w:after="40" w:before="40" w:line="280"/>
      </w:pPr>
      <w:r>
        <w:rPr>
          <w:rFonts w:ascii="Calibri" w:cs="Calibri" w:eastAsia="Calibri" w:hAnsi="Calibri"/>
          <w:color w:val="212121"/>
          <w:sz w:val="22"/>
          <w:szCs w:val="22"/>
        </w:rPr>
        <w:t xml:space="preserve">UNODC goAML XML schema</w:t>
      </w:r>
    </w:p>
    <w:p>
      <w:pPr>
        <w:pStyle w:val="Heading1"/>
        <w:pageBreakBefore/>
        <w:spacing w:after="200" w:before="360"/>
      </w:pPr>
      <w:r>
        <w:rPr>
          <w:rFonts w:ascii="Calibri" w:cs="Calibri" w:eastAsia="Calibri" w:hAnsi="Calibri"/>
          <w:b/>
          <w:bCs/>
          <w:color w:val="C8102E"/>
          <w:sz w:val="40"/>
          <w:szCs w:val="40"/>
        </w:rPr>
        <w:t xml:space="preserve">Appendix C — Sample API Catalogue (extract)</w:t>
      </w:r>
    </w:p>
    <w:p>
      <w:pPr>
        <w:spacing w:after="80" w:before="80" w:line="300"/>
        <w:jc w:val="left"/>
      </w:pPr>
      <w:r>
        <w:rPr>
          <w:rFonts w:ascii="Calibri" w:cs="Calibri" w:eastAsia="Calibri" w:hAnsi="Calibri"/>
          <w:b w:val="false"/>
          <w:bCs w:val="false"/>
          <w:i w:val="false"/>
          <w:iCs w:val="false"/>
          <w:color w:val="212121"/>
          <w:sz w:val="22"/>
          <w:szCs w:val="22"/>
        </w:rPr>
        <w:t xml:space="preserve">Illustrative APIs that the platform exposes and consumes. The full OpenAPI specification is delivered with the Solution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Method</w:t>
            </w:r>
          </w:p>
        </w:tc>
        <w:tc>
          <w:tcPr>
            <w:tcW w:type="dxa" w:w="300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Path</w:t>
            </w:r>
          </w:p>
        </w:tc>
        <w:tc>
          <w:tcPr>
            <w:tcW w:type="dxa" w:w="5460"/>
            <w:tcBorders>
              <w:top w:val="single" w:color="BFBFBF" w:sz="4"/>
              <w:left w:val="single" w:color="BFBFBF" w:sz="4"/>
              <w:bottom w:val="single" w:color="BFBFBF" w:sz="4"/>
              <w:right w:val="single" w:color="BFBFBF" w:sz="4"/>
            </w:tcBorders>
            <w:shd w:fill="C8102E" w:val="clear"/>
            <w:tcMar>
              <w:top w:type="dxa" w:w="80"/>
              <w:left w:type="dxa" w:w="100"/>
              <w:bottom w:type="dxa" w:w="80"/>
              <w:right w:type="dxa" w:w="100"/>
            </w:tcMar>
            <w:vAlign w:val="center"/>
          </w:tcPr>
          <w:p>
            <w:pPr>
              <w:spacing w:after="40" w:before="40"/>
              <w:jc w:val="left"/>
            </w:pPr>
            <w:r>
              <w:rPr>
                <w:rFonts w:ascii="Calibri" w:cs="Calibri" w:eastAsia="Calibri" w:hAnsi="Calibri"/>
                <w:b/>
                <w:bCs/>
                <w:color w:val="FFFFFF"/>
                <w:sz w:val="20"/>
                <w:szCs w:val="20"/>
              </w:rPr>
              <w:t xml:space="preserve">Purpose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/v1/customers/{id}/screen</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Screen customer against all configured lists; returns hits and overall status.</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/v1/transactions/screen</w:t>
            </w:r>
          </w:p>
        </w:tc>
        <w:tc>
          <w:tcPr>
            <w:tcW w:type="dxa" w:w="54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Real-time payment screening; SLA p95 ≤500ms.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/v1/str</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Create STR draft; transitions Draft → Review → Approved → Submitted.</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/v1/str/{id}/submit</w:t>
            </w:r>
          </w:p>
        </w:tc>
        <w:tc>
          <w:tcPr>
            <w:tcW w:type="dxa" w:w="54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Submit STR to NFIU goAML; returns acknowledgement.</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/v1/obligations?regulator=CBN&amp;effective_from=2026-01-01</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Query the obligations register.</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GET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/v1/controls/{id}/tests?from=2026-01-01</w:t>
            </w:r>
          </w:p>
        </w:tc>
        <w:tc>
          <w:tcPr>
            <w:tcW w:type="dxa" w:w="54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Test history for a control.</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/v1/dpia</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Open a DPIA.</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/v1/dsr</w:t>
            </w:r>
          </w:p>
        </w:tc>
        <w:tc>
          <w:tcPr>
            <w:tcW w:type="dxa" w:w="54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Lodge a data-subject request.</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/v1/breaches</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Open a breach record; 72h NDPC timer starts.</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/v1/returns/{template}/generate</w:t>
            </w:r>
          </w:p>
        </w:tc>
        <w:tc>
          <w:tcPr>
            <w:tcW w:type="dxa" w:w="54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Generate a regulatory return; returns reference.</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/v1/dashboards/cco</w:t>
            </w:r>
          </w:p>
        </w:tc>
        <w:tc>
          <w:tcPr>
            <w:tcW w:type="dxa" w:w="546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Aggregated CCO dashboard.</w:t>
            </w:r>
          </w:p>
        </w:tc>
      </w:tr>
      <w:tr>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POST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/v1/horizonscanner/ingest</w:t>
            </w:r>
          </w:p>
        </w:tc>
        <w:tc>
          <w:tcPr>
            <w:tcW w:type="dxa" w:w="546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vAlign w:val="top"/>
          </w:tcPr>
          <w:p>
            <w:pPr>
              <w:spacing w:after="40" w:before="40"/>
              <w:jc w:val="left"/>
            </w:pPr>
            <w:r>
              <w:rPr>
                <w:rFonts w:ascii="Calibri" w:cs="Calibri" w:eastAsia="Calibri" w:hAnsi="Calibri"/>
                <w:b w:val="false"/>
                <w:bCs w:val="false"/>
                <w:color w:val="212121"/>
                <w:sz w:val="20"/>
                <w:szCs w:val="20"/>
              </w:rPr>
              <w:t xml:space="preserve">Webhook for new regulator documents.</w:t>
            </w:r>
          </w:p>
        </w:tc>
      </w:tr>
    </w:tbl>
    <w:p>
      <w:pPr>
        <w:pageBreakBefore/>
        <w:spacing w:before="3000"/>
        <w:jc w:val="center"/>
      </w:pPr>
      <w:r>
        <w:rPr>
          <w:rFonts w:ascii="Calibri" w:cs="Calibri" w:eastAsia="Calibri" w:hAnsi="Calibri"/>
          <w:i/>
          <w:iCs/>
          <w:color w:val="555555"/>
          <w:sz w:val="22"/>
          <w:szCs w:val="22"/>
        </w:rPr>
        <w:t xml:space="preserve">— End of Document —</w:t>
      </w:r>
    </w:p>
    <w:p>
      <w:pPr>
        <w:spacing w:before="200"/>
        <w:jc w:val="center"/>
      </w:pPr>
      <w:r>
        <w:rPr>
          <w:rFonts w:ascii="Calibri" w:cs="Calibri" w:eastAsia="Calibri" w:hAnsi="Calibri"/>
          <w:color w:val="555555"/>
          <w:sz w:val="18"/>
          <w:szCs w:val="18"/>
        </w:rPr>
        <w:t xml:space="preserve">NGComply Platform v1.0 · Internal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55555"/>
        <w:sz w:val="18"/>
        <w:szCs w:val="18"/>
      </w:rPr>
      <w:t xml:space="preserve">Internal — Confidential</w:t>
    </w:r>
    <w:r>
      <w:rPr>
        <w:rFonts w:ascii="Calibri" w:cs="Calibri" w:eastAsia="Calibri" w:hAnsi="Calibri"/>
        <w:color w:val="555555"/>
        <w:sz w:val="18"/>
        <w:szCs w:val="18"/>
      </w:rPr>
      <w:t xml:space="preserve">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NGComply Platform · NGCOMPLY-1.0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8102E"/>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1F1F1F"/>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C810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NGComply Platform</dc:title>
  <dc:creator>Mohammed Ali</dc:creator>
  <dc:description>An Integrated Regulatory Compliance Management Solution for Nigerian Banks &amp; Financial Institutions</dc:description>
  <cp:lastModifiedBy>Un-named</cp:lastModifiedBy>
  <cp:revision>1</cp:revision>
  <dcterms:created xsi:type="dcterms:W3CDTF">2026-05-13T14:42:48.418Z</dcterms:created>
  <dcterms:modified xsi:type="dcterms:W3CDTF">2026-05-13T14:42:48.418Z</dcterms:modified>
</cp:coreProperties>
</file>

<file path=docProps/custom.xml><?xml version="1.0" encoding="utf-8"?>
<Properties xmlns="http://schemas.openxmlformats.org/officeDocument/2006/custom-properties" xmlns:vt="http://schemas.openxmlformats.org/officeDocument/2006/docPropsVTypes"/>
</file>