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jc w:val="center"/>
      </w:pPr>
      <w:r>
        <w:rPr>
          <w:b/>
          <w:bCs/>
          <w:color w:val="1F4E79"/>
          <w:sz w:val="72"/>
          <w:szCs w:val="72"/>
        </w:rPr>
        <w:t xml:space="preserve">ATHERIS ERM</w:t>
      </w:r>
    </w:p>
    <w:p>
      <w:pPr>
        <w:spacing w:after="120"/>
        <w:jc w:val="center"/>
      </w:pPr>
      <w:r>
        <w:rPr>
          <w:color w:val="595959"/>
          <w:sz w:val="32"/>
          <w:szCs w:val="32"/>
        </w:rPr>
        <w:t xml:space="preserve">Enterprise Risk Management Suite</w:t>
      </w:r>
    </w:p>
    <w:p>
      <w:pPr>
        <w:pBdr>
          <w:top w:val="single" w:color="1F4E79" w:sz="12" w:space="8"/>
          <w:bottom w:val="single" w:color="1F4E79" w:sz="12" w:space="8"/>
        </w:pBdr>
        <w:spacing w:before="480" w:after="80"/>
        <w:jc w:val="center"/>
      </w:pPr>
      <w:r>
        <w:rPr>
          <w:b/>
          <w:bCs/>
          <w:sz w:val="40"/>
          <w:szCs w:val="40"/>
        </w:rPr>
        <w:t xml:space="preserve">Live Demo Walkthrough Guide</w:t>
      </w:r>
    </w:p>
    <w:p>
      <w:pPr>
        <w:spacing w:before="240" w:after="80"/>
        <w:jc w:val="center"/>
      </w:pPr>
      <w:r>
        <w:rPr>
          <w:i/>
          <w:iCs/>
          <w:color w:val="C00000"/>
          <w:sz w:val="26"/>
          <w:szCs w:val="26"/>
        </w:rPr>
        <w:t xml:space="preserve">Scenario: Technology Risk — Ransomware on Core Banking Infrastructure</w:t>
      </w:r>
    </w:p>
    <w:p>
      <w:pPr>
        <w:spacing w:before="1200"/>
        <w:jc w:val="center"/>
      </w:pPr>
      <w:r>
        <w:rPr>
          <w:sz w:val="22"/>
          <w:szCs w:val="22"/>
        </w:rPr>
        <w:t xml:space="preserve">Prepared for: Mohammed Ali</w:t>
      </w:r>
    </w:p>
    <w:p>
      <w:pPr>
        <w:jc w:val="center"/>
      </w:pPr>
      <w:r>
        <w:rPr>
          <w:color w:val="595959"/>
          <w:sz w:val="22"/>
          <w:szCs w:val="22"/>
        </w:rPr>
        <w:t xml:space="preserve">Demo facilitator pack — copy-paste ready</w:t>
      </w:r>
    </w:p>
    <w:p>
      <w:pPr>
        <w:spacing w:before="120"/>
        <w:jc w:val="center"/>
      </w:pPr>
      <w:r>
        <w:rPr>
          <w:color w:val="595959"/>
          <w:sz w:val="22"/>
          <w:szCs w:val="22"/>
        </w:rPr>
        <w:t xml:space="preserve">Version 1.0  •  April 2026</w:t>
      </w:r>
    </w:p>
    <w:p>
      <w:r>
        <w:br w:type="page"/>
      </w:r>
    </w:p>
    <w:p>
      <w:pPr>
        <w:pStyle w:val="Heading1"/>
      </w:pPr>
      <w:r>
        <w:t xml:space="preserve">How to use this guide</w:t>
      </w:r>
    </w:p>
    <w:p>
      <w:r>
        <w:t xml:space="preserve">This guide takes you through every module of Atheris ERM in the order your audience will want to see it. For each module you get three things:</w:t>
      </w:r>
    </w:p>
    <w:p>
      <w:pPr>
        <w:pStyle w:val="ListParagraph"/>
        <w:numPr>
          <w:ilvl w:val="0"/>
          <w:numId w:val="2"/>
        </w:numPr>
      </w:pPr>
      <w:r>
        <w:t xml:space="preserve">A short talk-track — what to say and why the module matters to a risk owner, CRO, or auditor.</w:t>
      </w:r>
    </w:p>
    <w:p>
      <w:pPr>
        <w:pStyle w:val="ListParagraph"/>
        <w:numPr>
          <w:ilvl w:val="0"/>
          <w:numId w:val="2"/>
        </w:numPr>
      </w:pPr>
      <w:r>
        <w:t xml:space="preserve">The exact navigation path — where to click.</w:t>
      </w:r>
    </w:p>
    <w:p>
      <w:pPr>
        <w:pStyle w:val="ListParagraph"/>
        <w:numPr>
          <w:ilvl w:val="0"/>
          <w:numId w:val="2"/>
        </w:numPr>
      </w:pPr>
      <w:r>
        <w:t xml:space="preserve">Copy-paste-ready data — every field and dropdown value pre-filled for the Technology-Risk scenario so you never pause to invent data mid-demo.</w:t>
      </w:r>
    </w:p>
    <w:p>
      <w:r>
        <w:t xml:space="preserve"/>
      </w:r>
    </w:p>
    <w:p>
      <w:r>
        <w:t xml:space="preserve">The scenario is deliberately a single, cohesive IT-risk story so each module builds on the one before it:</w:t>
      </w:r>
    </w:p>
    <w:p>
      <w:pPr>
        <w:spacing w:before="80" w:after="80"/>
        <w:ind w:left="360"/>
      </w:pPr>
      <w:r>
        <w:rPr>
          <w:b/>
          <w:bCs/>
          <w:color w:val="1F4E79"/>
        </w:rPr>
        <w:t xml:space="preserve">Storyline: </w:t>
      </w:r>
      <w:r>
        <w:rPr>
          <w:i/>
          <w:iCs/>
        </w:rPr>
        <w:t xml:space="preserve">A Tier-1 bank's Technology team has identified Ransomware on core banking infrastructure as the hero risk. We assess it, map controls, test a control, open treatment plans, light up KRIs, record a related loss event, raise issues, and close with a board-ready view — all within one integrated platform.</w:t>
      </w:r>
    </w:p>
    <w:p>
      <w:r>
        <w:t xml:space="preserve"/>
      </w:r>
    </w:p>
    <w:p>
      <w:pPr>
        <w:spacing w:before="80" w:after="80"/>
        <w:ind w:left="360"/>
      </w:pPr>
      <w:r>
        <w:rPr>
          <w:b/>
          <w:bCs/>
          <w:color w:val="1F4E79"/>
        </w:rPr>
        <w:t xml:space="preserve">Before you start: </w:t>
      </w:r>
      <w:r>
        <w:rPr>
          <w:i/>
          <w:iCs/>
        </w:rPr>
        <w:t xml:space="preserve">Log in as Ngozi Adekunle (Chief Risk Officer) or Adebayo Ogundimu (Head, ERM). Confirm the organisation context shows "Demo Financial Institution". Set the demo date to 24 April 2026 so review-date fields align.</w:t>
      </w:r>
    </w:p>
    <w:p>
      <w:r>
        <w:br w:type="page"/>
      </w:r>
    </w:p>
    <w:p>
      <w:pPr>
        <w:pStyle w:val="Heading1"/>
      </w:pPr>
      <w:r>
        <w:t xml:space="preserve">Demo flow at a glance</w:t>
      </w:r>
    </w:p>
    <w:p>
      <w:r>
        <w:t xml:space="preserve">A 35–45 minute walkthrough covers the full risk lifecycle. Numbers in the left column are the suggested slot — tighten or skip to fit the audience.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100"/>
        <w:gridCol w:w="2000"/>
        <w:gridCol w:w="4720"/>
        <w:gridCol w:w="1000"/>
      </w:tblGrid>
      <w:tr>
        <w:trPr>
          <w:tblHeader/>
        </w:trPr>
        <w:tc>
          <w:tcPr>
            <w:tcW w:type="dxa" w:w="54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w:t>
            </w:r>
          </w:p>
        </w:tc>
        <w:tc>
          <w:tcPr>
            <w:tcW w:type="dxa" w:w="11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Stage</w:t>
            </w:r>
          </w:p>
        </w:tc>
        <w:tc>
          <w:tcPr>
            <w:tcW w:type="dxa" w:w="2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Module</w:t>
            </w:r>
          </w:p>
        </w:tc>
        <w:tc>
          <w:tcPr>
            <w:tcW w:type="dxa" w:w="472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Outcome you are showing</w:t>
            </w:r>
          </w:p>
        </w:tc>
        <w:tc>
          <w:tcPr>
            <w:tcW w:type="dxa" w:w="1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Time</w:t>
            </w:r>
          </w:p>
        </w:tc>
      </w:tr>
      <w:tr>
        <w:tc>
          <w:tcPr>
            <w:tcW w:type="dxa" w:w="54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1</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Open</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Command Centre / Dashboard</w:t>
            </w:r>
          </w:p>
        </w:tc>
        <w:tc>
          <w:tcPr>
            <w:tcW w:type="dxa" w:w="47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Executive view — heatmap, top risks, KRI breaches, approvals</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2 min</w:t>
            </w:r>
          </w:p>
        </w:tc>
      </w:tr>
      <w:tr>
        <w:tc>
          <w:tcPr>
            <w:tcW w:type="dxa" w:w="54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2</w:t>
            </w:r>
          </w:p>
        </w:tc>
        <w:tc>
          <w:tcPr>
            <w:tcW w:type="dxa" w:w="11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Identify</w:t>
            </w:r>
          </w:p>
        </w:tc>
        <w:tc>
          <w:tcPr>
            <w:tcW w:type="dxa" w:w="20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Risk Register</w:t>
            </w:r>
          </w:p>
        </w:tc>
        <w:tc>
          <w:tcPr>
            <w:tcW w:type="dxa" w:w="47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Create RISK-IT-001 with inherent &amp; residual scoring</w:t>
            </w:r>
          </w:p>
        </w:tc>
        <w:tc>
          <w:tcPr>
            <w:tcW w:type="dxa" w:w="10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6 min</w:t>
            </w:r>
          </w:p>
        </w:tc>
      </w:tr>
      <w:tr>
        <w:tc>
          <w:tcPr>
            <w:tcW w:type="dxa" w:w="54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3</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Assess</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RCSA / Risk Assessment</w:t>
            </w:r>
          </w:p>
        </w:tc>
        <w:tc>
          <w:tcPr>
            <w:tcW w:type="dxa" w:w="47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Multi-dimensional impact, evidence, direction of travel</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5 min</w:t>
            </w:r>
          </w:p>
        </w:tc>
      </w:tr>
      <w:tr>
        <w:tc>
          <w:tcPr>
            <w:tcW w:type="dxa" w:w="54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4</w:t>
            </w:r>
          </w:p>
        </w:tc>
        <w:tc>
          <w:tcPr>
            <w:tcW w:type="dxa" w:w="11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Control</w:t>
            </w:r>
          </w:p>
        </w:tc>
        <w:tc>
          <w:tcPr>
            <w:tcW w:type="dxa" w:w="20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Control Library</w:t>
            </w:r>
          </w:p>
        </w:tc>
        <w:tc>
          <w:tcPr>
            <w:tcW w:type="dxa" w:w="47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Register 4 controls and map to the risk</w:t>
            </w:r>
          </w:p>
        </w:tc>
        <w:tc>
          <w:tcPr>
            <w:tcW w:type="dxa" w:w="10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5 min</w:t>
            </w:r>
          </w:p>
        </w:tc>
      </w:tr>
      <w:tr>
        <w:tc>
          <w:tcPr>
            <w:tcW w:type="dxa" w:w="54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5</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Test</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Control Testing</w:t>
            </w:r>
          </w:p>
        </w:tc>
        <w:tc>
          <w:tcPr>
            <w:tcW w:type="dxa" w:w="47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Record a test result with evidence and recommendations</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3 min</w:t>
            </w:r>
          </w:p>
        </w:tc>
      </w:tr>
      <w:tr>
        <w:tc>
          <w:tcPr>
            <w:tcW w:type="dxa" w:w="54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6</w:t>
            </w:r>
          </w:p>
        </w:tc>
        <w:tc>
          <w:tcPr>
            <w:tcW w:type="dxa" w:w="11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Respond</w:t>
            </w:r>
          </w:p>
        </w:tc>
        <w:tc>
          <w:tcPr>
            <w:tcW w:type="dxa" w:w="20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Treatment Plans</w:t>
            </w:r>
          </w:p>
        </w:tc>
        <w:tc>
          <w:tcPr>
            <w:tcW w:type="dxa" w:w="47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Open 3 mitigation plans with milestones, cost, progress</w:t>
            </w:r>
          </w:p>
        </w:tc>
        <w:tc>
          <w:tcPr>
            <w:tcW w:type="dxa" w:w="10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4 min</w:t>
            </w:r>
          </w:p>
        </w:tc>
      </w:tr>
      <w:tr>
        <w:tc>
          <w:tcPr>
            <w:tcW w:type="dxa" w:w="54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7</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Monitor</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KRI Monitoring</w:t>
            </w:r>
          </w:p>
        </w:tc>
        <w:tc>
          <w:tcPr>
            <w:tcW w:type="dxa" w:w="47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3 KRIs with thresholds and a red-flag breach</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5 min</w:t>
            </w:r>
          </w:p>
        </w:tc>
      </w:tr>
      <w:tr>
        <w:tc>
          <w:tcPr>
            <w:tcW w:type="dxa" w:w="54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8</w:t>
            </w:r>
          </w:p>
        </w:tc>
        <w:tc>
          <w:tcPr>
            <w:tcW w:type="dxa" w:w="11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Event</w:t>
            </w:r>
          </w:p>
        </w:tc>
        <w:tc>
          <w:tcPr>
            <w:tcW w:type="dxa" w:w="20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Loss Events</w:t>
            </w:r>
          </w:p>
        </w:tc>
        <w:tc>
          <w:tcPr>
            <w:tcW w:type="dxa" w:w="47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Log a related incident with Basel/CBN classification</w:t>
            </w:r>
          </w:p>
        </w:tc>
        <w:tc>
          <w:tcPr>
            <w:tcW w:type="dxa" w:w="10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4 min</w:t>
            </w:r>
          </w:p>
        </w:tc>
      </w:tr>
      <w:tr>
        <w:tc>
          <w:tcPr>
            <w:tcW w:type="dxa" w:w="54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9</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Remediate</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Issues &amp; Findings</w:t>
            </w:r>
          </w:p>
        </w:tc>
        <w:tc>
          <w:tcPr>
            <w:tcW w:type="dxa" w:w="47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Raise 2 issues linked to the event and risk</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3 min</w:t>
            </w:r>
          </w:p>
        </w:tc>
      </w:tr>
      <w:tr>
        <w:tc>
          <w:tcPr>
            <w:tcW w:type="dxa" w:w="54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10</w:t>
            </w:r>
          </w:p>
        </w:tc>
        <w:tc>
          <w:tcPr>
            <w:tcW w:type="dxa" w:w="11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Visualise</w:t>
            </w:r>
          </w:p>
        </w:tc>
        <w:tc>
          <w:tcPr>
            <w:tcW w:type="dxa" w:w="20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Analysis → Heatmap</w:t>
            </w:r>
          </w:p>
        </w:tc>
        <w:tc>
          <w:tcPr>
            <w:tcW w:type="dxa" w:w="47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5×5 heatmap with drill-down</w:t>
            </w:r>
          </w:p>
        </w:tc>
        <w:tc>
          <w:tcPr>
            <w:tcW w:type="dxa" w:w="10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2 min</w:t>
            </w:r>
          </w:p>
        </w:tc>
      </w:tr>
      <w:tr>
        <w:tc>
          <w:tcPr>
            <w:tcW w:type="dxa" w:w="54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11</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Close</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Reports / Executive</w:t>
            </w:r>
          </w:p>
        </w:tc>
        <w:tc>
          <w:tcPr>
            <w:tcW w:type="dxa" w:w="47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Board-ready risk report</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3 min</w:t>
            </w:r>
          </w:p>
        </w:tc>
      </w:tr>
    </w:tbl>
    <w:p>
      <w:r>
        <w:t xml:space="preserve"/>
      </w:r>
    </w:p>
    <w:p>
      <w:pPr>
        <w:spacing w:before="80" w:after="80"/>
        <w:ind w:left="360"/>
      </w:pPr>
      <w:r>
        <w:rPr>
          <w:b/>
          <w:bCs/>
          <w:color w:val="1F4E79"/>
        </w:rPr>
        <w:t xml:space="preserve">Tip: </w:t>
      </w:r>
      <w:r>
        <w:rPr>
          <w:i/>
          <w:iCs/>
        </w:rPr>
        <w:t xml:space="preserve">Keep the same risk in focus through every module. Nothing sells an ERM platform better than the audience seeing RISK-IT-001 follow them from register, to control, to KRI, to loss event, to report.</w:t>
      </w:r>
    </w:p>
    <w:p>
      <w:r>
        <w:br w:type="page"/>
      </w:r>
    </w:p>
    <w:p>
      <w:pPr>
        <w:pStyle w:val="Heading1"/>
      </w:pPr>
      <w:r>
        <w:t xml:space="preserve">0. Pre-demo preparation checklist</w:t>
      </w:r>
    </w:p>
    <w:p>
      <w:pPr>
        <w:pStyle w:val="ListParagraph"/>
        <w:numPr>
          <w:ilvl w:val="0"/>
          <w:numId w:val="3"/>
        </w:numPr>
      </w:pPr>
      <w:r>
        <w:t xml:space="preserve">Confirm you are logged in as CRO or Head of ERM with full module access.</w:t>
      </w:r>
    </w:p>
    <w:p>
      <w:pPr>
        <w:pStyle w:val="ListParagraph"/>
        <w:numPr>
          <w:ilvl w:val="0"/>
          <w:numId w:val="3"/>
        </w:numPr>
      </w:pPr>
      <w:r>
        <w:t xml:space="preserve">Open two browser tabs: Atheris ERM and a blank scratch tab in case you need to show an email notification link.</w:t>
      </w:r>
    </w:p>
    <w:p>
      <w:pPr>
        <w:pStyle w:val="ListParagraph"/>
        <w:numPr>
          <w:ilvl w:val="0"/>
          <w:numId w:val="3"/>
        </w:numPr>
      </w:pPr>
      <w:r>
        <w:t xml:space="preserve">Clear any half-created draft risks from earlier testing — go to Risk Register → Filter: Status = Draft → delete/archive test items.</w:t>
      </w:r>
    </w:p>
    <w:p>
      <w:pPr>
        <w:pStyle w:val="ListParagraph"/>
        <w:numPr>
          <w:ilvl w:val="0"/>
          <w:numId w:val="3"/>
        </w:numPr>
      </w:pPr>
      <w:r>
        <w:t xml:space="preserve">Have this document open on a second monitor or phone for copy-paste.</w:t>
      </w:r>
    </w:p>
    <w:p>
      <w:pPr>
        <w:pStyle w:val="ListParagraph"/>
        <w:numPr>
          <w:ilvl w:val="0"/>
          <w:numId w:val="3"/>
        </w:numPr>
      </w:pPr>
      <w:r>
        <w:t xml:space="preserve">Opening one-liner: "What you're about to see is how Atheris takes a single IT risk and carries it — consistently — through identification, assessment, control, treatment, monitoring, and reporting. One source of truth, one audit trail."</w:t>
      </w:r>
    </w:p>
    <w:p>
      <w:r>
        <w:br w:type="page"/>
      </w:r>
    </w:p>
    <w:p>
      <w:pPr>
        <w:pStyle w:val="Heading1"/>
      </w:pPr>
      <w:r>
        <w:t xml:space="preserve">1. Command Centre (opening view)</w:t>
      </w:r>
    </w:p>
    <w:p>
      <w:pPr>
        <w:spacing w:after="40"/>
      </w:pPr>
      <w:r>
        <w:rPr>
          <w:b/>
          <w:bCs/>
        </w:rPr>
        <w:t xml:space="preserve">Navigate to: </w:t>
      </w:r>
      <w:r>
        <w:t xml:space="preserve">Sidebar → Dashboard → Command Centre  (route: /risk/dashboard)</w:t>
      </w:r>
    </w:p>
    <w:p>
      <w:r>
        <w:t xml:space="preserve"/>
      </w:r>
    </w:p>
    <w:p>
      <w:pPr>
        <w:pStyle w:val="Heading3"/>
      </w:pPr>
      <w:r>
        <w:t xml:space="preserve">Talk-track</w:t>
      </w:r>
    </w:p>
    <w:p>
      <w:r>
        <w:t xml:space="preserve">"This is the risk cockpit. In one screen the CRO sees: residual-risk heatmap, top 10 risks by rating, KRI breach indicators, pending approvals, and overdue treatment actions. Every tile is a drill-down — so the moment a board member asks 'what about cyber?', we're one click from the full file."</w:t>
      </w:r>
    </w:p>
    <w:p>
      <w:pPr>
        <w:pStyle w:val="Heading3"/>
      </w:pPr>
      <w:r>
        <w:t xml:space="preserve">What to point at</w:t>
      </w:r>
    </w:p>
    <w:p>
      <w:pPr>
        <w:pStyle w:val="ListParagraph"/>
        <w:numPr>
          <w:ilvl w:val="0"/>
          <w:numId w:val="2"/>
        </w:numPr>
      </w:pPr>
      <w:r>
        <w:t xml:space="preserve">Heatmap tile — residual risk distribution.</w:t>
      </w:r>
    </w:p>
    <w:p>
      <w:pPr>
        <w:pStyle w:val="ListParagraph"/>
        <w:numPr>
          <w:ilvl w:val="0"/>
          <w:numId w:val="2"/>
        </w:numPr>
      </w:pPr>
      <w:r>
        <w:t xml:space="preserve">KRI tile — count of Red / Amber indicators.</w:t>
      </w:r>
    </w:p>
    <w:p>
      <w:pPr>
        <w:pStyle w:val="ListParagraph"/>
        <w:numPr>
          <w:ilvl w:val="0"/>
          <w:numId w:val="2"/>
        </w:numPr>
      </w:pPr>
      <w:r>
        <w:t xml:space="preserve">Approval queue — assessments and treatments awaiting sign-off.</w:t>
      </w:r>
    </w:p>
    <w:p>
      <w:pPr>
        <w:pStyle w:val="ListParagraph"/>
        <w:numPr>
          <w:ilvl w:val="0"/>
          <w:numId w:val="2"/>
        </w:numPr>
      </w:pPr>
      <w:r>
        <w:t xml:space="preserve">Loss event summary — net loss YTD and incident count.</w:t>
      </w:r>
    </w:p>
    <w:p>
      <w:pPr>
        <w:spacing w:before="80" w:after="80"/>
        <w:ind w:left="360"/>
      </w:pPr>
      <w:r>
        <w:rPr>
          <w:b/>
          <w:bCs/>
          <w:color w:val="1F4E79"/>
        </w:rPr>
        <w:t xml:space="preserve">Handover line: </w:t>
      </w:r>
      <w:r>
        <w:rPr>
          <w:i/>
          <w:iCs/>
        </w:rPr>
        <w:t xml:space="preserve">"Let's now go into the Risk Register and create the risk that's going to drive the rest of this demo — ransomware on core banking."</w:t>
      </w:r>
    </w:p>
    <w:p>
      <w:r>
        <w:br w:type="page"/>
      </w:r>
    </w:p>
    <w:p>
      <w:pPr>
        <w:pStyle w:val="Heading1"/>
      </w:pPr>
      <w:r>
        <w:t xml:space="preserve">2. Risk Register — create RISK-IT-001</w:t>
      </w:r>
    </w:p>
    <w:p>
      <w:pPr>
        <w:spacing w:after="40"/>
      </w:pPr>
      <w:r>
        <w:rPr>
          <w:b/>
          <w:bCs/>
        </w:rPr>
        <w:t xml:space="preserve">Navigate to: </w:t>
      </w:r>
      <w:r>
        <w:t xml:space="preserve">Sidebar → Risk Register → Add Risk  (route: /risk/register/create)</w:t>
      </w:r>
    </w:p>
    <w:p>
      <w:r>
        <w:t xml:space="preserve"/>
      </w:r>
    </w:p>
    <w:p>
      <w:pPr>
        <w:pStyle w:val="Heading3"/>
      </w:pPr>
      <w:r>
        <w:t xml:space="preserve">Talk-track</w:t>
      </w:r>
    </w:p>
    <w:p>
      <w:r>
        <w:t xml:space="preserve">"The Risk Register is the system of record for every enterprise risk. Each risk has an owner, a category, an inherent score, and — after we apply controls — a residual score. We also capture regulatory mapping so one register satisfies CBN, Basel and NDPA reporting at the same time."</w:t>
      </w:r>
    </w:p>
    <w:p>
      <w:pPr>
        <w:pStyle w:val="Heading3"/>
      </w:pPr>
      <w:r>
        <w:t xml:space="preserve">Copy-paste: RISK-IT-001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Risk Code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RISK-IT-001  (auto-generated if left blank)</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Title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Ransomware Encryption of Core Banking Infrastructure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Category</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Technology Risk → Cyber Security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Business Unit</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Information Technology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Business Process</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Core Banking Operations / Payment Processing</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Risk Owner</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Chief Information Officer</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Risk Steward</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Chief Risk Officer</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Identified By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Internal Audit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Date Identified</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2026-02-10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Risk Source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Audit Finding</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Status</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Active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Description (Cause → Event → Consequence)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Due to incomplete EDR coverage on legacy branch endpoints, inconsistent monthly patching on externally-facing systems, and partial MFA enforcement on privileged and third-party vendor accounts (CAUSE), a threat actor could deliver a ransomware payload via phishing email, exposed RDP, or an infected removable media device (EVENT), resulting in encryption of core banking servers (T24), the payment switch (Postilion), and the customer data warehouse — causing multi-day service outage, inability to process transactions, breach of CBN IT Standards Blueprint and NDPA notification obligations, customer compensation claims, potential ransom demand, brand damage and estimated direct financial loss of ₦2.5B plus indirect costs (CONSEQUENCE).</w:t>
            </w:r>
          </w:p>
        </w:tc>
      </w:tr>
    </w:tbl>
    <w:p>
      <w:r>
        <w:t xml:space="preserve"/>
      </w:r>
    </w:p>
    <w:p>
      <w:pPr>
        <w:pStyle w:val="Heading3"/>
      </w:pPr>
      <w:r>
        <w:t xml:space="preserve">Inherent risk (before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Inherent Likelihood</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4  — Likely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Inherent Impact</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5  — Catastrophic</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Inherent Score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20  (system calculates 4 × 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Inherent Rating</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Critical  (auto-rated because ≥ 20)</w:t>
            </w:r>
          </w:p>
        </w:tc>
      </w:tr>
    </w:tbl>
    <w:p>
      <w:r>
        <w:t xml:space="preserve"/>
      </w:r>
    </w:p>
    <w:p>
      <w:pPr>
        <w:pStyle w:val="Heading3"/>
      </w:pPr>
      <w:r>
        <w:t xml:space="preserve">Residual risk (after current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Residual Likelihood</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3  — Possible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Residual Impact</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4  — Major</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Residual Score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12</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Residual Rating</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High</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Target Rating</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Medium</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Appetite Aligned</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No  (above appetite — treatment in progress)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Appetite Notes</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Board appetite for Technology Risk is Moderate. Current residual of High is outside appetite; treatment programme (see TPL-IT-001/002/003) is expected to bring residual to Medium by Q4 2026.</w:t>
            </w:r>
          </w:p>
        </w:tc>
      </w:tr>
    </w:tbl>
    <w:p>
      <w:r>
        <w:t xml:space="preserve"/>
      </w:r>
    </w:p>
    <w:p>
      <w:pPr>
        <w:pStyle w:val="Heading3"/>
      </w:pPr>
      <w:r>
        <w:t xml:space="preserve">Treatment &amp; regulatory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Treatment Strategy</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Mitigate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Treatment Status</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Active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Financial Exposure (NGN)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2,500,000,000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Regulatory Mapping (multi-select)</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CBN ORMS  •  CBN IT Standards Blueprint  •  Basel III — Operational Risk  •  NDPA  •  NFIU</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CBN Risk Type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Operational Risk — Technology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Basel Event Type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Business Disruption &amp; System Failures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Review Frequency</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Quarterly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Last Assessment Date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2026-04-15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Next Review Date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2026-07-24</w:t>
            </w:r>
          </w:p>
        </w:tc>
      </w:tr>
    </w:tbl>
    <w:p>
      <w:pPr>
        <w:pStyle w:val="Heading3"/>
      </w:pPr>
      <w:r>
        <w:t xml:space="preserve">Point-and-say</w:t>
      </w:r>
    </w:p>
    <w:p>
      <w:pPr>
        <w:pStyle w:val="ListParagraph"/>
        <w:numPr>
          <w:ilvl w:val="0"/>
          <w:numId w:val="2"/>
        </w:numPr>
      </w:pPr>
      <w:r>
        <w:t xml:space="preserve">Inherent vs residual is automatic — built-in scoring engine.</w:t>
      </w:r>
    </w:p>
    <w:p>
      <w:pPr>
        <w:pStyle w:val="ListParagraph"/>
        <w:numPr>
          <w:ilvl w:val="0"/>
          <w:numId w:val="2"/>
        </w:numPr>
      </w:pPr>
      <w:r>
        <w:t xml:space="preserve">Regulatory mapping is multi-select — one risk, many regulator views.</w:t>
      </w:r>
    </w:p>
    <w:p>
      <w:pPr>
        <w:pStyle w:val="ListParagraph"/>
        <w:numPr>
          <w:ilvl w:val="0"/>
          <w:numId w:val="2"/>
        </w:numPr>
      </w:pPr>
      <w:r>
        <w:t xml:space="preserve">Appetite-aligned flag drives the red banner on the risk profile — instant signal for the board.</w:t>
      </w:r>
    </w:p>
    <w:p>
      <w:pPr>
        <w:spacing w:before="80" w:after="80"/>
        <w:ind w:left="360"/>
      </w:pPr>
      <w:r>
        <w:rPr>
          <w:b/>
          <w:bCs/>
          <w:color w:val="1F4E79"/>
        </w:rPr>
        <w:t xml:space="preserve">Bonus talk-track: </w:t>
      </w:r>
      <w:r>
        <w:rPr>
          <w:i/>
          <w:iCs/>
        </w:rPr>
        <w:t xml:space="preserve">"Notice how we followed the Cause-Event-Consequence convention for the description. Atheris enforces this through an AI risk-statement helper if enabled — ensuring every risk is written in auditable language."</w:t>
      </w:r>
    </w:p>
    <w:p>
      <w:r>
        <w:br w:type="page"/>
      </w:r>
    </w:p>
    <w:p>
      <w:pPr>
        <w:pStyle w:val="Heading2"/>
      </w:pPr>
      <w:r>
        <w:t xml:space="preserve">Supporting risks — mention briefly, do not create in-demo</w:t>
      </w:r>
    </w:p>
    <w:p>
      <w:r>
        <w:t xml:space="preserve">These add breadth to your Technology-Risk picture without stealing time from the hero risk. Create them before the demo if you want them visible in the register.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60"/>
        <w:gridCol w:w="1200"/>
        <w:gridCol w:w="1200"/>
        <w:gridCol w:w="1300"/>
      </w:tblGrid>
      <w:tr>
        <w:trPr>
          <w:tblHeader/>
        </w:trPr>
        <w:tc>
          <w:tcPr>
            <w:tcW w:type="dxa" w:w="13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Code</w:t>
            </w:r>
          </w:p>
        </w:tc>
        <w:tc>
          <w:tcPr>
            <w:tcW w:type="dxa" w:w="43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Title &amp; Category</w:t>
            </w:r>
          </w:p>
        </w:tc>
        <w:tc>
          <w:tcPr>
            <w:tcW w:type="dxa" w:w="1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Inherent</w:t>
            </w:r>
          </w:p>
        </w:tc>
        <w:tc>
          <w:tcPr>
            <w:tcW w:type="dxa" w:w="1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Residual</w:t>
            </w:r>
          </w:p>
        </w:tc>
        <w:tc>
          <w:tcPr>
            <w:tcW w:type="dxa" w:w="13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Owner</w:t>
            </w:r>
          </w:p>
        </w:tc>
      </w:tr>
      <w:tr>
        <w:tc>
          <w:tcPr>
            <w:tcW w:type="dxa" w:w="13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RISK-IT-002</w:t>
            </w:r>
          </w:p>
        </w:tc>
        <w:tc>
          <w:tcPr>
            <w:tcW w:type="dxa" w:w="4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Unauthorised privileged access via compromised administrator credentials  •  Technology → Access &amp; Identity</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16 · High</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9 · Medium</w:t>
            </w:r>
          </w:p>
        </w:tc>
        <w:tc>
          <w:tcPr>
            <w:tcW w:type="dxa" w:w="13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Head, IAM</w:t>
            </w:r>
          </w:p>
        </w:tc>
      </w:tr>
      <w:tr>
        <w:tc>
          <w:tcPr>
            <w:tcW w:type="dxa" w:w="13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RISK-IT-003</w:t>
            </w:r>
          </w:p>
        </w:tc>
        <w:tc>
          <w:tcPr>
            <w:tcW w:type="dxa" w:w="4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Third-party payment gateway service disruption (Interswitch / NIBSS)  •  Technology → Third-Party</w:t>
            </w:r>
          </w:p>
        </w:tc>
        <w:tc>
          <w:tcPr>
            <w:tcW w:type="dxa" w:w="12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15 · High</w:t>
            </w:r>
          </w:p>
        </w:tc>
        <w:tc>
          <w:tcPr>
            <w:tcW w:type="dxa" w:w="12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10 · Medium</w:t>
            </w:r>
          </w:p>
        </w:tc>
        <w:tc>
          <w:tcPr>
            <w:tcW w:type="dxa" w:w="13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Head, Digital Banking</w:t>
            </w:r>
          </w:p>
        </w:tc>
      </w:tr>
      <w:tr>
        <w:tc>
          <w:tcPr>
            <w:tcW w:type="dxa" w:w="13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RISK-IT-004</w:t>
            </w:r>
          </w:p>
        </w:tc>
        <w:tc>
          <w:tcPr>
            <w:tcW w:type="dxa" w:w="4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Data loss due to mis-configured cloud storage bucket  •  Technology → Data Security</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12 · High</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6 · Medium</w:t>
            </w:r>
          </w:p>
        </w:tc>
        <w:tc>
          <w:tcPr>
            <w:tcW w:type="dxa" w:w="13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Head, Cloud Eng.</w:t>
            </w:r>
          </w:p>
        </w:tc>
      </w:tr>
    </w:tbl>
    <w:p>
      <w:r>
        <w:br w:type="page"/>
      </w:r>
    </w:p>
    <w:p>
      <w:pPr>
        <w:pStyle w:val="Heading1"/>
      </w:pPr>
      <w:r>
        <w:t xml:space="preserve">3. RCSA / Risk Assessment</w:t>
      </w:r>
    </w:p>
    <w:p>
      <w:pPr>
        <w:spacing w:after="40"/>
      </w:pPr>
      <w:r>
        <w:rPr>
          <w:b/>
          <w:bCs/>
        </w:rPr>
        <w:t xml:space="preserve">Navigate to: </w:t>
      </w:r>
      <w:r>
        <w:t xml:space="preserve">Sidebar → Risk Assessments → New Assessment  (route: /risk/assessments/create)</w:t>
      </w:r>
    </w:p>
    <w:p>
      <w:pPr>
        <w:spacing w:after="40"/>
      </w:pPr>
      <w:r>
        <w:rPr>
          <w:b/>
          <w:bCs/>
        </w:rPr>
        <w:t xml:space="preserve">Select risk: </w:t>
      </w:r>
      <w:r>
        <w:t xml:space="preserve">RISK-IT-001 — Ransomware Encryption of Core Banking Infrastructure</w:t>
      </w:r>
    </w:p>
    <w:p>
      <w:r>
        <w:t xml:space="preserve"/>
      </w:r>
    </w:p>
    <w:p>
      <w:pPr>
        <w:pStyle w:val="Heading3"/>
      </w:pPr>
      <w:r>
        <w:t xml:space="preserve">Talk-track</w:t>
      </w:r>
    </w:p>
    <w:p>
      <w:r>
        <w:t xml:space="preserve">"Assessment is where RCSA — Risk &amp; Control Self Assessment — happens. Unlike a one-dimensional impact score, Atheris captures five impact dimensions: financial, operational, reputational, regulatory and strategic. The system takes the highest dimension so nothing hides. It also records direction of travel, which is what boards care about — is the residual getting better or worse?"</w:t>
      </w:r>
    </w:p>
    <w:p>
      <w:pPr>
        <w:pStyle w:val="Heading3"/>
      </w:pPr>
      <w:r>
        <w:t xml:space="preserve">Copy-paste: Assessment RA-IT-2026-Q1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Risk</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RISK-IT-001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Assessment Date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2026-04-15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Assessment Type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Periodic (Quarterly)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Assessor</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Emeka Nwosu — Senior Risk Analyst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Reviewer</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Adebayo Ogundimu — Head, ERM</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Approver</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Ngozi Adekunle — Chief Risk Officer</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Status</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Submitted</w:t>
            </w:r>
          </w:p>
        </w:tc>
      </w:tr>
    </w:tbl>
    <w:p>
      <w:pPr>
        <w:pStyle w:val="Heading3"/>
      </w:pPr>
      <w:r>
        <w:t xml:space="preserve">Multi-dimensional scoring (1–5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Likelihood</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4  — Likely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Impact — Financial</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5  — Catastrophic (loss &gt; ₦2B)</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Impact — Operational</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5  — Core banking outage &gt; 24 hours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Impact — Reputational</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5  — National news coverage, sustained customer attrition</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Impact — Regulatory</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4  — CBN sanction / directed remediation likely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Impact — Strategic</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4  — Delays digital transformation roadmap by 12 months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Impact Score (max dimension)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Overall Inherent Score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20  →  Critical</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Control Effectiveness Rating</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Partially Effective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Residual Likelihood</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3</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Residual Impact</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4</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Residual Score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12  →  High</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Direction of Travel</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Improving</w:t>
            </w:r>
          </w:p>
        </w:tc>
      </w:tr>
    </w:tbl>
    <w:p>
      <w:pPr>
        <w:pStyle w:val="Heading3"/>
      </w:pPr>
      <w:r>
        <w:t xml:space="preserve">Assessment notes (paste verbatim)</w:t>
      </w:r>
    </w:p>
    <w:p>
      <w:r>
        <w:t xml:space="preserve">"Threat landscape intensified in Q1 2026 with three peer-bank ransomware incidents reported regionally. Internal posture: monthly critical-patch compliance improved from 72% to 86%, EDR endpoint coverage now 91% (target 100% by Jun-26), and MFA on privileged accounts at 82%. Key residual gaps: (1) 147 legacy Windows branch devices pending replacement, (2) MFA gap on third-party vendor support channels, (3) Feb-26 DR restore time of 38 hours vs 12-hour target. Board-approved treatment programme is 35–60% complete across zero-trust segmentation, cyber-recovery vault, and PAM rollout."</w:t>
      </w:r>
    </w:p>
    <w:p>
      <w:pPr>
        <w:pStyle w:val="Heading3"/>
      </w:pPr>
      <w:r>
        <w:t xml:space="preserve">Evidence references (attach or paste into field)</w:t>
      </w:r>
    </w:p>
    <w:p>
      <w:pPr>
        <w:pStyle w:val="ListParagraph"/>
        <w:numPr>
          <w:ilvl w:val="0"/>
          <w:numId w:val="2"/>
        </w:numPr>
      </w:pPr>
      <w:r>
        <w:t xml:space="preserve">IT-Audit-Report-2026-Q1.pdf</w:t>
      </w:r>
    </w:p>
    <w:p>
      <w:pPr>
        <w:pStyle w:val="ListParagraph"/>
        <w:numPr>
          <w:ilvl w:val="0"/>
          <w:numId w:val="2"/>
        </w:numPr>
      </w:pPr>
      <w:r>
        <w:t xml:space="preserve">EDR-Coverage-Report-Mar26.xlsx</w:t>
      </w:r>
    </w:p>
    <w:p>
      <w:pPr>
        <w:pStyle w:val="ListParagraph"/>
        <w:numPr>
          <w:ilvl w:val="0"/>
          <w:numId w:val="2"/>
        </w:numPr>
      </w:pPr>
      <w:r>
        <w:t xml:space="preserve">Phishing-Simulation-Results-Mar26.pdf</w:t>
      </w:r>
    </w:p>
    <w:p>
      <w:pPr>
        <w:pStyle w:val="ListParagraph"/>
        <w:numPr>
          <w:ilvl w:val="0"/>
          <w:numId w:val="2"/>
        </w:numPr>
      </w:pPr>
      <w:r>
        <w:t xml:space="preserve">DR-Test-Report-Feb26.docx</w:t>
      </w:r>
    </w:p>
    <w:p>
      <w:pPr>
        <w:pStyle w:val="ListParagraph"/>
        <w:numPr>
          <w:ilvl w:val="0"/>
          <w:numId w:val="2"/>
        </w:numPr>
      </w:pPr>
      <w:r>
        <w:t xml:space="preserve">Patch-Compliance-Dashboard-Mar26-Screenshot.png</w:t>
      </w:r>
    </w:p>
    <w:p>
      <w:pPr>
        <w:spacing w:before="80" w:after="80"/>
        <w:ind w:left="360"/>
      </w:pPr>
      <w:r>
        <w:rPr>
          <w:b/>
          <w:bCs/>
          <w:color w:val="1F4E79"/>
        </w:rPr>
        <w:t xml:space="preserve">Point-and-say: </w:t>
      </w:r>
      <w:r>
        <w:rPr>
          <w:i/>
          <w:iCs/>
        </w:rPr>
        <w:t xml:space="preserve">"Because reputational got a 5 and regulatory got a 4, the overall is 5 — the single worst dimension drives the score. That's deliberate: it stops people averaging away a catastrophic reputational impact."</w:t>
      </w:r>
    </w:p>
    <w:p>
      <w:r>
        <w:br w:type="page"/>
      </w:r>
    </w:p>
    <w:p>
      <w:pPr>
        <w:pStyle w:val="Heading1"/>
      </w:pPr>
      <w:r>
        <w:t xml:space="preserve">4. Control Library</w:t>
      </w:r>
    </w:p>
    <w:p>
      <w:pPr>
        <w:spacing w:after="40"/>
      </w:pPr>
      <w:r>
        <w:rPr>
          <w:b/>
          <w:bCs/>
        </w:rPr>
        <w:t xml:space="preserve">Navigate to: </w:t>
      </w:r>
      <w:r>
        <w:t xml:space="preserve">Sidebar → Controls → Control Library → Add Control  (route: /risk/controls/create)</w:t>
      </w:r>
    </w:p>
    <w:p>
      <w:r>
        <w:t xml:space="preserve"/>
      </w:r>
    </w:p>
    <w:p>
      <w:pPr>
        <w:pStyle w:val="Heading3"/>
      </w:pPr>
      <w:r>
        <w:t xml:space="preserve">Talk-track</w:t>
      </w:r>
    </w:p>
    <w:p>
      <w:r>
        <w:t xml:space="preserve">"Every risk needs a credible line of defence. The Control Library gives us a central inventory of preventive, detective, corrective and directive controls — with owners, test cadence and an effectiveness score. Most importantly, we map each control to the risks it mitigates and weight it, so residual risk is not just an opinion — it is the product of controls that work."</w:t>
      </w:r>
    </w:p>
    <w:p>
      <w:pPr>
        <w:pStyle w:val="Heading3"/>
      </w:pPr>
      <w:r>
        <w:t xml:space="preserve">Control 1 — CTL-IT-001  Endpoint Detection &amp; Response (EDR)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Control Code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CTL-IT-001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Name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Endpoint Detection &amp; Response (EDR) on All Endpoints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Description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CrowdStrike Falcon EDR deployed to all bank-managed endpoints — workstations, laptops, servers. Alerts triaged 24/7 by the Cyber Security Operations Centre. Coverage currently 91% of eligible assets; residual 9% driven by legacy branch devices pending replacement.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Control Type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Detective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Control Nature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Automated</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Frequency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Continuous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Automation Level</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Fully Automated</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Owner</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Head, Cyber Security Operations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Business Unit</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Information Technology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Effectiveness Rating</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Partially Effective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Effectiveness %</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78</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Last Test Date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2026-03-10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Next Test Due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2026-06-10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Status</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Active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Map to Risk</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RISK-IT-001   •   Weight 0.85   •   Key Control: Yes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Mapping Rationale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Primary detection and containment mechanism for ransomware payloads on endpoints; demonstrated effectiveness in March-26 incident (LOSS-IT-2026-001).</w:t>
            </w:r>
          </w:p>
        </w:tc>
      </w:tr>
    </w:tbl>
    <w:p>
      <w:r>
        <w:t xml:space="preserve"/>
      </w:r>
    </w:p>
    <w:p>
      <w:pPr>
        <w:pStyle w:val="Heading3"/>
      </w:pPr>
      <w:r>
        <w:t xml:space="preserve">Control 2 — CTL-IT-002  Immutable Offline Backups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Control Code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CTL-IT-002</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Name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Immutable Offline Backups of Core Systems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Description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T24 core banking, Postilion switch, and data warehouse are backed up to air-gapped immutable storage (Rubrik) with 30-day retention. Monthly restore validation. Feb-26 DR test achieved 38-hour RTO against 12-hour target; cyber-recovery vault programme in flight.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Control Type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Corrective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Control Nature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Automated</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Frequency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Daily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Automation Level</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Fully Automated</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Owner</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Head, IT Infrastructure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Effectiveness Rating</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Effective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Effectiveness %</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95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Last Test Date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2026-02-20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Next Test Due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2026-05-20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Status</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Active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Map to Risk</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RISK-IT-001   •   Weight 0.90   •   Key Control: Yes</w:t>
            </w:r>
          </w:p>
        </w:tc>
      </w:tr>
    </w:tbl>
    <w:p>
      <w:r>
        <w:t xml:space="preserve"/>
      </w:r>
    </w:p>
    <w:p>
      <w:pPr>
        <w:pStyle w:val="Heading3"/>
      </w:pPr>
      <w:r>
        <w:t xml:space="preserve">Control 3 — CTL-IT-003  Multi-Factor Authentication on Privileged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Control Code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CTL-IT-003</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Name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Multi-Factor Authentication on Privileged Access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Description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Microsoft Entra MFA enforced on all privileged administrator accounts and VPN. Service accounts and third-party vendor accounts in rollout phase; current coverage 82%. Residual gap on remote vendor support channels.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Control Type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Preventive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Control Nature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Automated</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Frequency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Continuous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Automation Level</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Fully Automated</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Owner</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Head, Identity &amp; Access Management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Effectiveness Rating</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Partially Effective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Effectiveness %</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65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Last Test Date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2026-03-25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Next Test Due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2026-06-25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Status</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Active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Map to Risk</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RISK-IT-001   •   Weight 0.70   •   Key Control: Yes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Map to Risk (secondary)</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RISK-IT-002   •   Weight 0.90   •   Key Control: Yes</w:t>
            </w:r>
          </w:p>
        </w:tc>
      </w:tr>
    </w:tbl>
    <w:p>
      <w:r>
        <w:t xml:space="preserve"/>
      </w:r>
    </w:p>
    <w:p>
      <w:pPr>
        <w:pStyle w:val="Heading3"/>
      </w:pPr>
      <w:r>
        <w:t xml:space="preserve">Control 4 — CTL-IT-004  Monthly Security Patch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Control Code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CTL-IT-004</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Name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Monthly Security Patch Cycle on Critical Systems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Description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Microsoft, Linux and Oracle security patches released monthly are deployed via SCCM and Ansible within 30 days for critical severity, 60 days for high, 90 days for medium. Current critical compliance 86%, high 78%. Gap driven by change-freeze windows tied to month-end processing.</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Control Type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Preventive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Control Nature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Semi-Automated</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Frequency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Monthly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Automation Level</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Semi-Automated</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Owner</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Head, IT Operations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Effectiveness Rating</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Partially Effective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Effectiveness %</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72</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Last Test Date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2026-04-05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Next Test Due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2026-07-05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Status</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Active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Map to Risk</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RISK-IT-001   •   Weight 0.60   •   Key Control: No</w:t>
            </w:r>
          </w:p>
        </w:tc>
      </w:tr>
    </w:tbl>
    <w:p>
      <w:pPr>
        <w:spacing w:before="80" w:after="80"/>
        <w:ind w:left="360"/>
      </w:pPr>
      <w:r>
        <w:rPr>
          <w:b/>
          <w:bCs/>
          <w:color w:val="1F4E79"/>
        </w:rPr>
        <w:t xml:space="preserve">Point-and-say: </w:t>
      </w:r>
      <w:r>
        <w:rPr>
          <w:i/>
          <w:iCs/>
        </w:rPr>
        <w:t xml:space="preserve">"Notice how Atheris blends control type (preventive/detective/corrective) with nature (manual vs automated) and frequency. That gives the three-lines-of-defence view auditors ask for — and the residual-risk engine uses the weights to calculate an evidence-based residual score."</w:t>
      </w:r>
    </w:p>
    <w:p>
      <w:r>
        <w:br w:type="page"/>
      </w:r>
    </w:p>
    <w:p>
      <w:pPr>
        <w:pStyle w:val="Heading1"/>
      </w:pPr>
      <w:r>
        <w:t xml:space="preserve">5. Control Testing</w:t>
      </w:r>
    </w:p>
    <w:p>
      <w:pPr>
        <w:spacing w:after="40"/>
      </w:pPr>
      <w:r>
        <w:rPr>
          <w:b/>
          <w:bCs/>
        </w:rPr>
        <w:t xml:space="preserve">Navigate to: </w:t>
      </w:r>
      <w:r>
        <w:t xml:space="preserve">Sidebar → Controls → Control Tests → New Test  (route: /risk/control-tests/create)</w:t>
      </w:r>
    </w:p>
    <w:p>
      <w:r>
        <w:t xml:space="preserve"/>
      </w:r>
    </w:p>
    <w:p>
      <w:pPr>
        <w:pStyle w:val="Heading3"/>
      </w:pPr>
      <w:r>
        <w:t xml:space="preserve">Talk-track</w:t>
      </w:r>
    </w:p>
    <w:p>
      <w:r>
        <w:t xml:space="preserve">"Designing a control on paper is the easy part. Atheris tests the control — on a schedule — and captures the result, the tester, the reviewer, the evidence and any recommendations. Failed tests automatically down-rate the control, which down-stream lifts the residual risk. The system self-corrects when evidence changes."</w:t>
      </w:r>
    </w:p>
    <w:p>
      <w:pPr>
        <w:pStyle w:val="Heading3"/>
      </w:pPr>
      <w:r>
        <w:t xml:space="preserve">Copy-paste: TST-IT-001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Test Code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TST-IT-001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Control</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CTL-IT-001 — EDR Coverage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Title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Q1 2026 EDR Coverage and Alert-Triage Test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Test Type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Operating Effectiveness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Tester</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Chinedu Okoro — IT Audit Manager</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Reviewer</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Fatima Bello — Chief Compliance Officer</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Scheduled Date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2026-03-05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Started Date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2026-03-06</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Completed Date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2026-03-10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Status</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Completed</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Result</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Effective (with observations)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Score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78</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Findings</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Sampled 50 endpoints across 10 branches. 46 of 50 had active EDR agent and recent heartbeat. 4 legacy Windows 7 branch workstations (pending replacement under Asset-Refresh programme) had no agent. SOC alerts reviewed for March: 1,243 alerts triaged with median time-to-triage 7 minutes (target 15 minutes). No blocked-alert false-negative detected.</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Recommendations</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(1) Accelerate decommissioning of remaining 147 legacy branch devices by June 2026. (2) Implement automated health-check dashboard for agent heartbeat with daily exception report. (3) Document and review exception approvals for any residual devices quarterly.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Evidence References</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EDR-Coverage-Export-2026-03.csv  •  SOC-Triage-Metrics-Mar26.xlsx  •  Sample-50-Endpoints-Evidence.pdf</w:t>
            </w:r>
          </w:p>
        </w:tc>
      </w:tr>
    </w:tbl>
    <w:p>
      <w:pPr>
        <w:spacing w:before="80" w:after="80"/>
        <w:ind w:left="360"/>
      </w:pPr>
      <w:r>
        <w:rPr>
          <w:b/>
          <w:bCs/>
          <w:color w:val="1F4E79"/>
        </w:rPr>
        <w:t xml:space="preserve">Point-and-say: </w:t>
      </w:r>
      <w:r>
        <w:rPr>
          <w:i/>
          <w:iCs/>
        </w:rPr>
        <w:t xml:space="preserve">"The test recommendations automatically become candidate issues in the Issues module — I'll show that in a moment."</w:t>
      </w:r>
    </w:p>
    <w:p>
      <w:r>
        <w:br w:type="page"/>
      </w:r>
    </w:p>
    <w:p>
      <w:pPr>
        <w:pStyle w:val="Heading1"/>
      </w:pPr>
      <w:r>
        <w:t xml:space="preserve">6. Treatment Plans</w:t>
      </w:r>
    </w:p>
    <w:p>
      <w:pPr>
        <w:spacing w:after="40"/>
      </w:pPr>
      <w:r>
        <w:rPr>
          <w:b/>
          <w:bCs/>
        </w:rPr>
        <w:t xml:space="preserve">Navigate to: </w:t>
      </w:r>
      <w:r>
        <w:t xml:space="preserve">Sidebar → Treatment Plans → Create Plan  (route: /risk/treatments/create)</w:t>
      </w:r>
    </w:p>
    <w:p>
      <w:r>
        <w:t xml:space="preserve"/>
      </w:r>
    </w:p>
    <w:p>
      <w:pPr>
        <w:pStyle w:val="Heading3"/>
      </w:pPr>
      <w:r>
        <w:t xml:space="preserve">Talk-track</w:t>
      </w:r>
    </w:p>
    <w:p>
      <w:r>
        <w:t xml:space="preserve">"When a risk is outside appetite, we don't just flag it — we act. Treatment Plans capture the programme of work to bring residual risk into appetite: owners, milestones, budget, expected residual impact. Every plan is linked to the risk so the board sees not just the problem, but the investment and the timeline to fix it."</w:t>
      </w:r>
    </w:p>
    <w:p>
      <w:pPr>
        <w:pStyle w:val="Heading3"/>
      </w:pPr>
      <w:r>
        <w:t xml:space="preserve">Plan 1 — TPL-IT-001  Zero-Trust Network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Treatment Code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TPL-IT-001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Linked Risk</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RISK-IT-001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Strategy</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Mitigate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Treatment Title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Zero-Trust Network Segmentation Programme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Treatment Type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Infrastructure Upgrade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Description</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Implement zero-trust micro-segmentation across the data-centre fabric using Illumio. Segment core banking, payment switch, and data warehouse into isolated enforcement zones. East-west traffic allow-listed by business process.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Owner</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Chief Information Officer</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Priority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High</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Target Completion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2026-12-31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Status</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In Progress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Progress %</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35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Estimated Cost (NGN)</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480,000,000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Actual Cost to Date (NGN)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168,000,000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Expected Residual Likelihood</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2</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Expected Residual Impact</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4</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Milestones</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M1 — Architecture approved (Done, Jan 2026)  •  M2 — Illumio licences procured (Done, Feb 2026)  •  M3 — Data-centre 1 enforcement live (In Progress, Jul 2026)  •  M4 — Data-centre 2 enforcement live (Oct 2026)  •  M5 — Branch sites (Dec 2026)</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Success Criteria</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100% of critical production workloads under allow-list enforcement; lateral-movement blast radius reduced by 80% as measured by independent red-team assessment.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Approved By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Ngozi Adekunle — CRO</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Approved At</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2026-01-22 14:05</w:t>
            </w:r>
          </w:p>
        </w:tc>
      </w:tr>
    </w:tbl>
    <w:p>
      <w:r>
        <w:t xml:space="preserve"/>
      </w:r>
    </w:p>
    <w:p>
      <w:pPr>
        <w:pStyle w:val="Heading3"/>
      </w:pPr>
      <w:r>
        <w:t xml:space="preserve">Plan 2 — TPL-IT-002  Cyber-Recovery Capability Uplift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Treatment Code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TPL-IT-002</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Linked Risk</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RISK-IT-001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Strategy</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Mitigate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Treatment Title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DR / Cyber-Recovery Capability Uplift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Treatment Type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Resilience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Description</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Reduce core-banking recovery time objective (RTO) from 38 hours to 12 hours by standing up an isolated cyber-recovery vault, automating restore runbooks, and conducting quarterly unannounced DR drills.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Owner</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Head, IT Infrastructure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Priority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Critical</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Target Completion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2026-09-30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Status</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In Progress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Progress %</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50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Estimated Cost (NGN)</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320,000,000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Actual Cost to Date (NGN)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160,000,000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Expected Residual Likelihood</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3</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Expected Residual Impact</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3</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Milestones</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M1 — Cyber-recovery vault deployed (Done, Mar 2026)  •  M2 — Automated restore runbooks for T24 (In Progress, Jun 2026)  •  M3 — Quarterly unannounced drill cadence live (Sep 2026)</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Success Criteria</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12-hour RTO validated in two successive DR drills with no manual-intervention escalation.</w:t>
            </w:r>
          </w:p>
        </w:tc>
      </w:tr>
    </w:tbl>
    <w:p>
      <w:r>
        <w:t xml:space="preserve"/>
      </w:r>
    </w:p>
    <w:p>
      <w:pPr>
        <w:pStyle w:val="Heading3"/>
      </w:pPr>
      <w:r>
        <w:t xml:space="preserve">Plan 3 — TPL-IT-003  Privileged Access Management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Treatment Code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TPL-IT-003</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Linked Risk</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RISK-IT-001 (and RISK-IT-002)</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Strategy</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Mitigate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Treatment Title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Privileged Access Management (PAM) Rollout Completion</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Treatment Type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Access Control</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Description</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Extend CyberArk PAM to cover all 240 privileged service accounts and 38 third-party vendor accounts. Enforce session recording, just-in-time elevation, and credential rotation on connection.</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Owner</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Head, Identity &amp; Access Management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Priority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High</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Target Completion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2026-08-31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Status</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In Progress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Progress %</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60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Estimated Cost (NGN)</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150,000,000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Success Criteria</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100% of privileged account usage routed through PAM with session recording; no shared administrator credentials in use.</w:t>
            </w:r>
          </w:p>
        </w:tc>
      </w:tr>
    </w:tbl>
    <w:p>
      <w:pPr>
        <w:spacing w:before="80" w:after="80"/>
        <w:ind w:left="360"/>
      </w:pPr>
      <w:r>
        <w:rPr>
          <w:b/>
          <w:bCs/>
          <w:color w:val="1F4E79"/>
        </w:rPr>
        <w:t xml:space="preserve">Point-and-say: </w:t>
      </w:r>
      <w:r>
        <w:rPr>
          <w:i/>
          <w:iCs/>
        </w:rPr>
        <w:t xml:space="preserve">"Each plan records expected residual scoring. If every plan delivers on time, the risk dashboard shows the projected residual for RISK-IT-001 at Medium by Q4 2026 — which is within appetite. That projection is board-grade evidence of management action."</w:t>
      </w:r>
    </w:p>
    <w:p>
      <w:r>
        <w:br w:type="page"/>
      </w:r>
    </w:p>
    <w:p>
      <w:pPr>
        <w:pStyle w:val="Heading1"/>
      </w:pPr>
      <w:r>
        <w:t xml:space="preserve">7. Key Risk Indicators (KRI)</w:t>
      </w:r>
    </w:p>
    <w:p>
      <w:pPr>
        <w:spacing w:after="40"/>
      </w:pPr>
      <w:r>
        <w:rPr>
          <w:b/>
          <w:bCs/>
        </w:rPr>
        <w:t xml:space="preserve">Navigate to: </w:t>
      </w:r>
      <w:r>
        <w:t xml:space="preserve">Sidebar → KRI Monitoring → Add KRI  (route: /risk/kri/create)</w:t>
      </w:r>
    </w:p>
    <w:p>
      <w:r>
        <w:t xml:space="preserve"/>
      </w:r>
    </w:p>
    <w:p>
      <w:pPr>
        <w:pStyle w:val="Heading3"/>
      </w:pPr>
      <w:r>
        <w:t xml:space="preserve">Talk-track</w:t>
      </w:r>
    </w:p>
    <w:p>
      <w:r>
        <w:t xml:space="preserve">"Risks are forward-looking; KRIs are early warnings. Each KRI has a formula, a data source, a collection frequency, and three thresholds — green, amber, red. Atheris supports both ascending indicators (higher = worse) and descending (lower = worse). When a KRI trips into red, the linked risk is automatically flagged for re-assessment."</w:t>
      </w:r>
    </w:p>
    <w:p>
      <w:pPr>
        <w:pStyle w:val="Heading3"/>
      </w:pPr>
      <w:r>
        <w:t xml:space="preserve">KRI 1 — KRI-IT-001  Patch Compliance (Critical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KRI Code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KRI-IT-001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Name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Security Patch Compliance Rate — Critical Assets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Description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Percentage of critical production assets patched within SLA (30 days of vendor release). Leading indicator of exploitability of known CVEs; directly influences likelihood of successful ransomware exploitation.</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Category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Technology Risk</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Formula</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(Critical assets patched within SLA / Total critical assets) × 100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Unit of Measure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Data Source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Qualys VMDR integrated with SCCM</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Measurement Frequency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Monthly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Owner</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Head, IT Operations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Linked Risk</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RISK-IT-001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Threshold Direction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Descending (lower value is worse)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Green Threshold</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 95%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Amber Threshold</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85 – 94.99%</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Red Threshold</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&lt; 85%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Baseline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86%</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Current Value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86%  →  Amber</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Trend</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Up (improving)</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Is Active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Yes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Is Automated</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Yes</w:t>
            </w:r>
          </w:p>
        </w:tc>
      </w:tr>
    </w:tbl>
    <w:p>
      <w:pPr>
        <w:pStyle w:val="Heading3"/>
      </w:pPr>
      <w:r>
        <w:t xml:space="preserve">6-month measurement history (paste as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4960"/>
      </w:tblGrid>
      <w:tr>
        <w:trPr>
          <w:tblHeader/>
        </w:trPr>
        <w:tc>
          <w:tcPr>
            <w:tcW w:type="dxa" w:w="16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Date</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Value</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Status</w:t>
            </w:r>
          </w:p>
        </w:tc>
        <w:tc>
          <w:tcPr>
            <w:tcW w:type="dxa" w:w="4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Notes</w:t>
            </w:r>
          </w:p>
        </w:tc>
      </w:tr>
      <w:tr>
        <w:tc>
          <w:tcPr>
            <w:tcW w:type="dxa" w:w="16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2025-10-31</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72%</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bCs/>
                <w:color w:val="C00000"/>
                <w:sz w:val="20"/>
                <w:szCs w:val="20"/>
              </w:rPr>
              <w:t xml:space="preserve">Red</w:t>
            </w:r>
          </w:p>
        </w:tc>
        <w:tc>
          <w:tcPr>
            <w:tcW w:type="dxa" w:w="4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Pre-remediation baseline</w:t>
            </w:r>
          </w:p>
        </w:tc>
      </w:tr>
      <w:tr>
        <w:tc>
          <w:tcPr>
            <w:tcW w:type="dxa" w:w="16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2025-11-30</w:t>
            </w:r>
          </w:p>
        </w:tc>
        <w:tc>
          <w:tcPr>
            <w:tcW w:type="dxa" w:w="14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76%</w:t>
            </w:r>
          </w:p>
        </w:tc>
        <w:tc>
          <w:tcPr>
            <w:tcW w:type="dxa" w:w="14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bCs/>
                <w:color w:val="C00000"/>
                <w:sz w:val="20"/>
                <w:szCs w:val="20"/>
              </w:rPr>
              <w:t xml:space="preserve">Red</w:t>
            </w:r>
          </w:p>
        </w:tc>
        <w:tc>
          <w:tcPr>
            <w:tcW w:type="dxa" w:w="49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SCCM automation deployed</w:t>
            </w:r>
          </w:p>
        </w:tc>
      </w:tr>
      <w:tr>
        <w:tc>
          <w:tcPr>
            <w:tcW w:type="dxa" w:w="16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2025-12-31</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80%</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bCs/>
                <w:color w:val="C00000"/>
                <w:sz w:val="20"/>
                <w:szCs w:val="20"/>
              </w:rPr>
              <w:t xml:space="preserve">Red</w:t>
            </w:r>
          </w:p>
        </w:tc>
        <w:tc>
          <w:tcPr>
            <w:tcW w:type="dxa" w:w="4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Exception register cleansed</w:t>
            </w:r>
          </w:p>
        </w:tc>
      </w:tr>
      <w:tr>
        <w:tc>
          <w:tcPr>
            <w:tcW w:type="dxa" w:w="16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2026-01-31</w:t>
            </w:r>
          </w:p>
        </w:tc>
        <w:tc>
          <w:tcPr>
            <w:tcW w:type="dxa" w:w="14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82%</w:t>
            </w:r>
          </w:p>
        </w:tc>
        <w:tc>
          <w:tcPr>
            <w:tcW w:type="dxa" w:w="14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bCs/>
                <w:color w:val="C00000"/>
                <w:sz w:val="20"/>
                <w:szCs w:val="20"/>
              </w:rPr>
              <w:t xml:space="preserve">Red</w:t>
            </w:r>
          </w:p>
        </w:tc>
        <w:tc>
          <w:tcPr>
            <w:tcW w:type="dxa" w:w="49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Christmas freeze extension resolved</w:t>
            </w:r>
          </w:p>
        </w:tc>
      </w:tr>
      <w:tr>
        <w:tc>
          <w:tcPr>
            <w:tcW w:type="dxa" w:w="16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2026-02-28</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84%</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bCs/>
                <w:color w:val="C00000"/>
                <w:sz w:val="20"/>
                <w:szCs w:val="20"/>
              </w:rPr>
              <w:t xml:space="preserve">Red</w:t>
            </w:r>
          </w:p>
        </w:tc>
        <w:tc>
          <w:tcPr>
            <w:tcW w:type="dxa" w:w="4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First month on new cadence</w:t>
            </w:r>
          </w:p>
        </w:tc>
      </w:tr>
      <w:tr>
        <w:tc>
          <w:tcPr>
            <w:tcW w:type="dxa" w:w="16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2026-03-31</w:t>
            </w:r>
          </w:p>
        </w:tc>
        <w:tc>
          <w:tcPr>
            <w:tcW w:type="dxa" w:w="14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86%</w:t>
            </w:r>
          </w:p>
        </w:tc>
        <w:tc>
          <w:tcPr>
            <w:tcW w:type="dxa" w:w="14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bCs/>
                <w:color w:val="B45F06"/>
                <w:sz w:val="20"/>
                <w:szCs w:val="20"/>
              </w:rPr>
              <w:t xml:space="preserve">Amber</w:t>
            </w:r>
          </w:p>
        </w:tc>
        <w:tc>
          <w:tcPr>
            <w:tcW w:type="dxa" w:w="49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Crossed amber threshold — green target by Jun-26</w:t>
            </w:r>
          </w:p>
        </w:tc>
      </w:tr>
    </w:tbl>
    <w:p>
      <w:r>
        <w:t xml:space="preserve"/>
      </w:r>
    </w:p>
    <w:p>
      <w:pPr>
        <w:pStyle w:val="Heading3"/>
      </w:pPr>
      <w:r>
        <w:t xml:space="preserve">KRI 2 — KRI-IT-002  Phishing Simulation Click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KRI Code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KRI-IT-002</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Name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Phishing Simulation Click-Through Rate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Description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Percentage of users clicking the link in monthly KnowBe4 phishing simulations. Leading indicator of social-engineering exposure — primary initial-access vector for ransomware.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Category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Technology Risk</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Formula</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(Users who clicked simulated phishing link / Users targeted) × 100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Unit</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Data Source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KnowBe4 phishing platform</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Frequency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Monthly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Owner</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Head, Information Security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Linked Risk</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RISK-IT-001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Direction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Ascending (higher is worse)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Green</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 4.00%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Amber</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4.01 – 7.00%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Red</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&gt; 7.00%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Baseline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8.5%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Current Value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6.2%  →  Amber</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Trend</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Down (improving)</w:t>
            </w:r>
          </w:p>
        </w:tc>
      </w:tr>
    </w:tbl>
    <w:p>
      <w:pPr>
        <w:pStyle w:val="Heading3"/>
      </w:pPr>
      <w:r>
        <w:t xml:space="preserve">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Date</w:t>
            </w:r>
          </w:p>
        </w:tc>
        <w:tc>
          <w:tcPr>
            <w:tcW w:type="dxa" w:w="312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Value</w:t>
            </w:r>
          </w:p>
        </w:tc>
        <w:tc>
          <w:tcPr>
            <w:tcW w:type="dxa" w:w="312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Status</w:t>
            </w:r>
          </w:p>
        </w:tc>
      </w:tr>
      <w:tr>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2025-10-31</w:t>
            </w:r>
          </w:p>
        </w:tc>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8.5%</w:t>
            </w:r>
          </w:p>
        </w:tc>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bCs/>
                <w:color w:val="C00000"/>
                <w:sz w:val="20"/>
                <w:szCs w:val="20"/>
              </w:rPr>
              <w:t xml:space="preserve">Red</w:t>
            </w:r>
          </w:p>
        </w:tc>
      </w:tr>
      <w:tr>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2025-11-30</w:t>
            </w:r>
          </w:p>
        </w:tc>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8.1%</w:t>
            </w:r>
          </w:p>
        </w:tc>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bCs/>
                <w:color w:val="C00000"/>
                <w:sz w:val="20"/>
                <w:szCs w:val="20"/>
              </w:rPr>
              <w:t xml:space="preserve">Red</w:t>
            </w:r>
          </w:p>
        </w:tc>
      </w:tr>
      <w:tr>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2025-12-31</w:t>
            </w:r>
          </w:p>
        </w:tc>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7.4%</w:t>
            </w:r>
          </w:p>
        </w:tc>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bCs/>
                <w:color w:val="C00000"/>
                <w:sz w:val="20"/>
                <w:szCs w:val="20"/>
              </w:rPr>
              <w:t xml:space="preserve">Red</w:t>
            </w:r>
          </w:p>
        </w:tc>
      </w:tr>
      <w:tr>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2026-01-31</w:t>
            </w:r>
          </w:p>
        </w:tc>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6.8%</w:t>
            </w:r>
          </w:p>
        </w:tc>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bCs/>
                <w:color w:val="B45F06"/>
                <w:sz w:val="20"/>
                <w:szCs w:val="20"/>
              </w:rPr>
              <w:t xml:space="preserve">Amber</w:t>
            </w:r>
          </w:p>
        </w:tc>
      </w:tr>
      <w:tr>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2026-02-28</w:t>
            </w:r>
          </w:p>
        </w:tc>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6.5%</w:t>
            </w:r>
          </w:p>
        </w:tc>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bCs/>
                <w:color w:val="B45F06"/>
                <w:sz w:val="20"/>
                <w:szCs w:val="20"/>
              </w:rPr>
              <w:t xml:space="preserve">Amber</w:t>
            </w:r>
          </w:p>
        </w:tc>
      </w:tr>
      <w:tr>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2026-03-31</w:t>
            </w:r>
          </w:p>
        </w:tc>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6.2%</w:t>
            </w:r>
          </w:p>
        </w:tc>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bCs/>
                <w:color w:val="B45F06"/>
                <w:sz w:val="20"/>
                <w:szCs w:val="20"/>
              </w:rPr>
              <w:t xml:space="preserve">Amber</w:t>
            </w:r>
          </w:p>
        </w:tc>
      </w:tr>
    </w:tbl>
    <w:p>
      <w:r>
        <w:t xml:space="preserve"/>
      </w:r>
    </w:p>
    <w:p>
      <w:pPr>
        <w:pStyle w:val="Heading3"/>
      </w:pPr>
      <w:r>
        <w:t xml:space="preserve">KRI 3 — KRI-IT-003  High/Critical Security Incidents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KRI Code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KRI-IT-003</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Name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High / Critical Security Incidents per Month</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Description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Count of incidents rated High or Critical by the SOC in a calendar month. Lagging indicator of overall control environment health and threat-actor activity targeting the bank.</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Category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Technology Risk</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Formula</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COUNT(incidents where severity IN ('High','Critical') AND month = current)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Unit</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Count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Data Source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Splunk SIEM</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Frequency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Monthly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Owner</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Head, Cyber Security Operations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Linked Risk</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RISK-IT-001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Direction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Ascending (higher is worse)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Green</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 2</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Amber</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3 – 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Red</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&gt; 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Baseline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4</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Current Value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6  →  RED</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Trend</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Up (worsening — note the breach)</w:t>
            </w:r>
          </w:p>
        </w:tc>
      </w:tr>
    </w:tbl>
    <w:p>
      <w:pPr>
        <w:pStyle w:val="Heading3"/>
      </w:pPr>
      <w:r>
        <w:t xml:space="preserve">Measurements (the red breach is your demo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Date</w:t>
            </w:r>
          </w:p>
        </w:tc>
        <w:tc>
          <w:tcPr>
            <w:tcW w:type="dxa" w:w="312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Value</w:t>
            </w:r>
          </w:p>
        </w:tc>
        <w:tc>
          <w:tcPr>
            <w:tcW w:type="dxa" w:w="312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Status</w:t>
            </w:r>
          </w:p>
        </w:tc>
      </w:tr>
      <w:tr>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2025-10-31</w:t>
            </w:r>
          </w:p>
        </w:tc>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3</w:t>
            </w:r>
          </w:p>
        </w:tc>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bCs/>
                <w:color w:val="B45F06"/>
                <w:sz w:val="20"/>
                <w:szCs w:val="20"/>
              </w:rPr>
              <w:t xml:space="preserve">Amber</w:t>
            </w:r>
          </w:p>
        </w:tc>
      </w:tr>
      <w:tr>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2025-11-30</w:t>
            </w:r>
          </w:p>
        </w:tc>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4</w:t>
            </w:r>
          </w:p>
        </w:tc>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bCs/>
                <w:color w:val="B45F06"/>
                <w:sz w:val="20"/>
                <w:szCs w:val="20"/>
              </w:rPr>
              <w:t xml:space="preserve">Amber</w:t>
            </w:r>
          </w:p>
        </w:tc>
      </w:tr>
      <w:tr>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2025-12-31</w:t>
            </w:r>
          </w:p>
        </w:tc>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5</w:t>
            </w:r>
          </w:p>
        </w:tc>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bCs/>
                <w:color w:val="B45F06"/>
                <w:sz w:val="20"/>
                <w:szCs w:val="20"/>
              </w:rPr>
              <w:t xml:space="preserve">Amber</w:t>
            </w:r>
          </w:p>
        </w:tc>
      </w:tr>
      <w:tr>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2026-01-31</w:t>
            </w:r>
          </w:p>
        </w:tc>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4</w:t>
            </w:r>
          </w:p>
        </w:tc>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bCs/>
                <w:color w:val="B45F06"/>
                <w:sz w:val="20"/>
                <w:szCs w:val="20"/>
              </w:rPr>
              <w:t xml:space="preserve">Amber</w:t>
            </w:r>
          </w:p>
        </w:tc>
      </w:tr>
      <w:tr>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2026-02-28</w:t>
            </w:r>
          </w:p>
        </w:tc>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5</w:t>
            </w:r>
          </w:p>
        </w:tc>
        <w:tc>
          <w:tcPr>
            <w:tcW w:type="dxa" w:w="312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bCs/>
                <w:color w:val="B45F06"/>
                <w:sz w:val="20"/>
                <w:szCs w:val="20"/>
              </w:rPr>
              <w:t xml:space="preserve">Amber</w:t>
            </w:r>
          </w:p>
        </w:tc>
      </w:tr>
      <w:tr>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2026-03-31</w:t>
            </w:r>
          </w:p>
        </w:tc>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6</w:t>
            </w:r>
          </w:p>
        </w:tc>
        <w:tc>
          <w:tcPr>
            <w:tcW w:type="dxa" w:w="312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bCs/>
                <w:color w:val="C00000"/>
                <w:sz w:val="20"/>
                <w:szCs w:val="20"/>
              </w:rPr>
              <w:t xml:space="preserve">Red</w:t>
            </w:r>
          </w:p>
        </w:tc>
      </w:tr>
    </w:tbl>
    <w:p>
      <w:pPr>
        <w:spacing w:before="80" w:after="80"/>
        <w:ind w:left="360"/>
      </w:pPr>
      <w:r>
        <w:rPr>
          <w:b/>
          <w:bCs/>
          <w:color w:val="1F4E79"/>
        </w:rPr>
        <w:t xml:space="preserve">Point-and-say: </w:t>
      </w:r>
      <w:r>
        <w:rPr>
          <w:i/>
          <w:iCs/>
        </w:rPr>
        <w:t xml:space="preserve">"Watch what happens when KRI-IT-003 goes red — the linked risk RISK-IT-001 gets an automatic re-assessment prompt on the CRO's dashboard. No human has to remember to look."</w:t>
      </w:r>
    </w:p>
    <w:p>
      <w:r>
        <w:br w:type="page"/>
      </w:r>
    </w:p>
    <w:p>
      <w:pPr>
        <w:pStyle w:val="Heading1"/>
      </w:pPr>
      <w:r>
        <w:t xml:space="preserve">8. Loss Events</w:t>
      </w:r>
    </w:p>
    <w:p>
      <w:pPr>
        <w:spacing w:after="40"/>
      </w:pPr>
      <w:r>
        <w:rPr>
          <w:b/>
          <w:bCs/>
        </w:rPr>
        <w:t xml:space="preserve">Navigate to: </w:t>
      </w:r>
      <w:r>
        <w:t xml:space="preserve">Sidebar → Loss Events → Report Loss Event  (route: /risk/loss-events/create)</w:t>
      </w:r>
    </w:p>
    <w:p>
      <w:r>
        <w:t xml:space="preserve"/>
      </w:r>
    </w:p>
    <w:p>
      <w:pPr>
        <w:pStyle w:val="Heading3"/>
      </w:pPr>
      <w:r>
        <w:t xml:space="preserve">Talk-track</w:t>
      </w:r>
    </w:p>
    <w:p>
      <w:r>
        <w:t xml:space="preserve">"When a risk crystallises into an actual loss — or a near miss — we capture it here. Atheris uses the Basel operational-risk taxonomy natively, plus the CBN ORMS event-type mapping, which means the same record feeds both the board risk report and the regulator submission. No re-keying."</w:t>
      </w:r>
    </w:p>
    <w:p>
      <w:pPr>
        <w:pStyle w:val="Heading3"/>
      </w:pPr>
      <w:r>
        <w:t xml:space="preserve">Copy-paste: LOSS-IT-2026-001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Event Reference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LOSS-IT-2026-001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Title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Malware outbreak from infected USB drive — Lagos VI branch (contained)</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Date of Loss</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2026-03-18</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Date Discovered</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2026-03-18</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Date Reported</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2026-03-19</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Business Unit</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Information Technology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Department</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Branch IT Support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Branch</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Lagos Victoria Island</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Responsible Officer</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Branch Operations Manager — Lagos VI</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Description</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On 18 March 2026 at 11:17, a branch Operations user connected a personal USB drive to a branch workstation to print a customer statement. The USB carried a commodity banking trojan (Emetot variant). CrowdStrike EDR detected and quarantined the payload within 9 minutes and blocked three lateral-movement attempts to neighbouring devices. No customer data was exfiltrated. The branch experienced a 4-hour operational disruption while affected workstations were isolated, forensically imaged and rebuilt.</w:t>
            </w:r>
          </w:p>
        </w:tc>
      </w:tr>
    </w:tbl>
    <w:p>
      <w:r>
        <w:t xml:space="preserve"/>
      </w:r>
    </w:p>
    <w:p>
      <w:pPr>
        <w:pStyle w:val="Heading3"/>
      </w:pPr>
      <w:r>
        <w:t xml:space="preserve">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Basel L1 Category</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Business Disruption &amp; System Failures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Basel L2</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Systems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Basel L3 Detail</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Malware infection — contained</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CBN ORMS Category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Operational Risk — Technology</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CBN ORMS Event Type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Information Security Event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CBN Product Line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Retail Banking</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Event Severity</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Minor</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Is Near Miss</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No  (near-miss for data loss, but operational loss incurred)</w:t>
            </w:r>
          </w:p>
        </w:tc>
      </w:tr>
    </w:tbl>
    <w:p>
      <w:pPr>
        <w:pStyle w:val="Heading3"/>
      </w:pPr>
      <w:r>
        <w:t xml:space="preserve">Financial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Gross Loss (NGN)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3,200,000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Insurance Recovery (NGN)</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0  (below policy deductible)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Other Recovery (NGN)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Net Loss (NGN)</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3,200,000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Cost Centre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IT-OPS-201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GL Account</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GL-6301-OPR-IT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Breakdown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Staff overtime ₦0.8M  •  External forensic vendor ₦1.4M  •  Branch downtime customer compensation ₦0.6M  •  Rebuild labour ₦0.4M</w:t>
            </w:r>
          </w:p>
        </w:tc>
      </w:tr>
    </w:tbl>
    <w:p>
      <w:pPr>
        <w:pStyle w:val="Heading3"/>
      </w:pPr>
      <w:r>
        <w:t xml:space="preserve">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Customers Affected</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47  (service disruption only, no data loss)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Customer Impact Rating</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2</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Reputational Impact Rating</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Operational Disruption (hours)</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4</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Indirect Cost (NGN)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600,000</w:t>
            </w:r>
          </w:p>
        </w:tc>
      </w:tr>
    </w:tbl>
    <w:p>
      <w:pPr>
        <w:pStyle w:val="Heading3"/>
      </w:pPr>
      <w:r>
        <w:t xml:space="preserve">Regulatory reporting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CBN Reportable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Yes  (threshold event for IT incident reporting)</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CBN Reporting Deadline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2026-04-02</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CBN Notification Sent</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Yes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CBN Notification Date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2026-03-21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CBN Notification Ref</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CBN-ORMS-2026-03-0147</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NFIU Reportable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No  (no suspicious transaction)</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NDPA Reportable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No  (no personal data breach)</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Law Enforcement Notified</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No</w:t>
            </w:r>
          </w:p>
        </w:tc>
      </w:tr>
    </w:tbl>
    <w:p>
      <w:pPr>
        <w:pStyle w:val="Heading3"/>
      </w:pPr>
      <w:r>
        <w:t xml:space="preserve">Status &amp; root-cause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Current Status</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Under Root Cause Analysis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Assigned To</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Head, IT Endpoint Management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Initial Root Cause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USB port controls not enforced on this workstation model. A 2023 policy exception granted for a scanner integration was never reviewed or withdrawn. EDR performed as designed and contained the payload — the incident demonstrates the value of defence-in-depth.</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Linked Risk</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RISK-IT-001  (partial crystallisation — lower-tier ransomware scenario)</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Linked Controls Tested</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CTL-IT-001 (EDR) — performed effectively; CTL-IT-004 (Patching) — not in scope</w:t>
            </w:r>
          </w:p>
        </w:tc>
      </w:tr>
    </w:tbl>
    <w:p>
      <w:pPr>
        <w:spacing w:before="80" w:after="80"/>
        <w:ind w:left="360"/>
      </w:pPr>
      <w:r>
        <w:rPr>
          <w:b/>
          <w:bCs/>
          <w:color w:val="1F4E79"/>
        </w:rPr>
        <w:t xml:space="preserve">Point-and-say: </w:t>
      </w:r>
      <w:r>
        <w:rPr>
          <w:i/>
          <w:iCs/>
        </w:rPr>
        <w:t xml:space="preserve">"Because this event is linked to RISK-IT-001, the CRO's view of that risk now shows a loss-event timeline. The next assessment can — and should — reference this event as evidence the residual rating is correctly positioned."</w:t>
      </w:r>
    </w:p>
    <w:p>
      <w:r>
        <w:br w:type="page"/>
      </w:r>
    </w:p>
    <w:p>
      <w:pPr>
        <w:pStyle w:val="Heading1"/>
      </w:pPr>
      <w:r>
        <w:t xml:space="preserve">9. Issues &amp; Findings</w:t>
      </w:r>
    </w:p>
    <w:p>
      <w:pPr>
        <w:spacing w:after="40"/>
      </w:pPr>
      <w:r>
        <w:rPr>
          <w:b/>
          <w:bCs/>
        </w:rPr>
        <w:t xml:space="preserve">Navigate to: </w:t>
      </w:r>
      <w:r>
        <w:t xml:space="preserve">Sidebar → Issues → Raise Issue  (route: /risk/issues/create)</w:t>
      </w:r>
    </w:p>
    <w:p>
      <w:r>
        <w:t xml:space="preserve"/>
      </w:r>
    </w:p>
    <w:p>
      <w:pPr>
        <w:pStyle w:val="Heading3"/>
      </w:pPr>
      <w:r>
        <w:t xml:space="preserve">Talk-track</w:t>
      </w:r>
    </w:p>
    <w:p>
      <w:r>
        <w:t xml:space="preserve">"Issues are how we track every finding through to closure — no spreadsheet, no stale email. An issue can originate from audit, a risk assessment, a loss event, or a control test. Every issue has an owner, a due date, severity, and an escalation chain. Overdue issues light up the dashboard and trigger escalation notifications."</w:t>
      </w:r>
    </w:p>
    <w:p>
      <w:pPr>
        <w:pStyle w:val="Heading3"/>
      </w:pPr>
      <w:r>
        <w:t xml:space="preserve">Issue 1 — ISS-IT-001  USB device-control policy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Issue Code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ISS-IT-001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Title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USB device-control policy not consistently enforced across branch estate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Source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Loss Event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Source Reference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LOSS-IT-2026-001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Description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USB port controls are policy-mandated on all workstations but 12 devices across 6 branches carry active exception approvals from 2022–2023 that were never reviewed or withdrawn. Remediation: enforce USB-blocking group policy with documented, time-bound exceptions subject to quarterly review.</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Risk Category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Technology Risk — Endpoint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Responsible Owner</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Head, IT Endpoint Management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Linked Risk</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RISK-IT-001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Linked Loss Event</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LOSS-IT-2026-001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Severity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High</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Priority</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High</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Identified Date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2026-03-20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Due Date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2026-05-31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Status</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In Progress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Progress %</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40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Is Regulatory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No</w:t>
            </w:r>
          </w:p>
        </w:tc>
      </w:tr>
    </w:tbl>
    <w:p>
      <w:r>
        <w:t xml:space="preserve"/>
      </w:r>
    </w:p>
    <w:p>
      <w:pPr>
        <w:pStyle w:val="Heading3"/>
      </w:pPr>
      <w:r>
        <w:t xml:space="preserve">Issue 2 — ISS-IT-002  DR restore time exceeds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Issue Code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ISS-IT-002</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Title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Disaster-recovery restore time exceeds 12-hour target (38hrs observed)</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Source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Risk Assessment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Source Reference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Feb-26 DR drill report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Description</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Feb-26 DR drill restored core banking in 38 hours versus the 12-hour target. Root cause: manual validation gates in the restore runbook and sequential, rather than parallel, workstream execution. Remediation tracked under TPL-IT-002 (Cyber-Recovery Uplift).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Responsible Owner</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Head, IT Infrastructure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Linked Risk</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RISK-IT-001</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Linked Treatment Plan</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TPL-IT-002</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Severity</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Critical</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Priority</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Urgent</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Identified Date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2026-02-25</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Due Date</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2026-09-30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Status</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In Progress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Progress %</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50</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Is Regulatory</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No</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Escalated</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Yes — Level 2 (CIO sponsorship)</w:t>
            </w:r>
          </w:p>
        </w:tc>
      </w:tr>
    </w:tbl>
    <w:p>
      <w:r>
        <w:br w:type="page"/>
      </w:r>
    </w:p>
    <w:p>
      <w:pPr>
        <w:pStyle w:val="Heading1"/>
      </w:pPr>
      <w:r>
        <w:t xml:space="preserve">10. Analysis — Risk Heatmap</w:t>
      </w:r>
    </w:p>
    <w:p>
      <w:pPr>
        <w:spacing w:after="40"/>
      </w:pPr>
      <w:r>
        <w:rPr>
          <w:b/>
          <w:bCs/>
        </w:rPr>
        <w:t xml:space="preserve">Navigate to: </w:t>
      </w:r>
      <w:r>
        <w:t xml:space="preserve">Sidebar → Analysis → Heatmap  (route: /risk/analysis/heatmap)</w:t>
      </w:r>
    </w:p>
    <w:p>
      <w:r>
        <w:t xml:space="preserve"/>
      </w:r>
    </w:p>
    <w:p>
      <w:pPr>
        <w:pStyle w:val="Heading3"/>
      </w:pPr>
      <w:r>
        <w:t xml:space="preserve">Talk-track</w:t>
      </w:r>
    </w:p>
    <w:p>
      <w:r>
        <w:t xml:space="preserve">"The 5×5 heatmap is the single most-requested board visualisation. Atheris renders both inherent and residual on the same axes so the board sees the impact of controls. Clicking any cell drills into the risks in that cell. Filter by business unit, risk category or risk owner to move from enterprise view to functional view."</w:t>
      </w:r>
    </w:p>
    <w:p>
      <w:pPr>
        <w:pStyle w:val="Heading3"/>
      </w:pPr>
      <w:r>
        <w:t xml:space="preserve">What to do during the demo</w:t>
      </w:r>
    </w:p>
    <w:p>
      <w:pPr>
        <w:pStyle w:val="ListParagraph"/>
        <w:numPr>
          <w:ilvl w:val="0"/>
          <w:numId w:val="2"/>
        </w:numPr>
      </w:pPr>
      <w:r>
        <w:t xml:space="preserve">Click the Critical cell (Impact 5, Likelihood 4) — show inherent placement of RISK-IT-001.</w:t>
      </w:r>
    </w:p>
    <w:p>
      <w:pPr>
        <w:pStyle w:val="ListParagraph"/>
        <w:numPr>
          <w:ilvl w:val="0"/>
          <w:numId w:val="2"/>
        </w:numPr>
      </w:pPr>
      <w:r>
        <w:t xml:space="preserve">Toggle to Residual view — show RISK-IT-001 has moved to High (Impact 4, Likelihood 3).</w:t>
      </w:r>
    </w:p>
    <w:p>
      <w:pPr>
        <w:pStyle w:val="ListParagraph"/>
        <w:numPr>
          <w:ilvl w:val="0"/>
          <w:numId w:val="2"/>
        </w:numPr>
      </w:pPr>
      <w:r>
        <w:t xml:space="preserve">Filter: Category = Technology Risk — show the supporting risks alongside the hero risk.</w:t>
      </w:r>
    </w:p>
    <w:p>
      <w:pPr>
        <w:pStyle w:val="ListParagraph"/>
        <w:numPr>
          <w:ilvl w:val="0"/>
          <w:numId w:val="2"/>
        </w:numPr>
      </w:pPr>
      <w:r>
        <w:t xml:space="preserve">Filter: Business Unit = Information Technology — show BU-level accountability.</w:t>
      </w:r>
    </w:p>
    <w:p>
      <w:pPr>
        <w:spacing w:before="80" w:after="80"/>
        <w:ind w:left="360"/>
      </w:pPr>
      <w:r>
        <w:rPr>
          <w:b/>
          <w:bCs/>
          <w:color w:val="1F4E79"/>
        </w:rPr>
        <w:t xml:space="preserve">Point-and-say: </w:t>
      </w:r>
      <w:r>
        <w:rPr>
          <w:i/>
          <w:iCs/>
        </w:rPr>
        <w:t xml:space="preserve">"This is the view the board sees first — but every dot is a live record. No slide decks, no month-end consolidation."</w:t>
      </w:r>
    </w:p>
    <w:p>
      <w:r>
        <w:br w:type="page"/>
      </w:r>
    </w:p>
    <w:p>
      <w:pPr>
        <w:pStyle w:val="Heading1"/>
      </w:pPr>
      <w:r>
        <w:t xml:space="preserve">11. Reports — Executive Risk Report</w:t>
      </w:r>
    </w:p>
    <w:p>
      <w:pPr>
        <w:spacing w:after="40"/>
      </w:pPr>
      <w:r>
        <w:rPr>
          <w:b/>
          <w:bCs/>
        </w:rPr>
        <w:t xml:space="preserve">Navigate to: </w:t>
      </w:r>
      <w:r>
        <w:t xml:space="preserve">Sidebar → Reports → Executive Report  (route: /risk/reports/executive)</w:t>
      </w:r>
    </w:p>
    <w:p>
      <w:r>
        <w:t xml:space="preserve"/>
      </w:r>
    </w:p>
    <w:p>
      <w:pPr>
        <w:pStyle w:val="Heading3"/>
      </w:pPr>
      <w:r>
        <w:t xml:space="preserve">Talk-track</w:t>
      </w:r>
    </w:p>
    <w:p>
      <w:r>
        <w:t xml:space="preserve">"Everything we've captured in the last twenty minutes rolls up automatically into a board-ready Executive Risk Report. Top risks, residual direction of travel, KRI breaches, material loss events, treatment-plan progress and issue ageing — all stitched together from the same database we just populated. Generate, download, email."</w:t>
      </w:r>
    </w:p>
    <w:p>
      <w:pPr>
        <w:pStyle w:val="Heading3"/>
      </w:pPr>
      <w:r>
        <w:t xml:space="preserve">What to show</w:t>
      </w:r>
    </w:p>
    <w:p>
      <w:pPr>
        <w:pStyle w:val="ListParagraph"/>
        <w:numPr>
          <w:ilvl w:val="0"/>
          <w:numId w:val="2"/>
        </w:numPr>
      </w:pPr>
      <w:r>
        <w:t xml:space="preserve">Risk profile summary — counts by rating (Critical / High / Medium / Low), with a clear call-out for RISK-IT-001.</w:t>
      </w:r>
    </w:p>
    <w:p>
      <w:pPr>
        <w:pStyle w:val="ListParagraph"/>
        <w:numPr>
          <w:ilvl w:val="0"/>
          <w:numId w:val="2"/>
        </w:numPr>
      </w:pPr>
      <w:r>
        <w:t xml:space="preserve">Top 10 risks by residual score, with trend arrows.</w:t>
      </w:r>
    </w:p>
    <w:p>
      <w:pPr>
        <w:pStyle w:val="ListParagraph"/>
        <w:numPr>
          <w:ilvl w:val="0"/>
          <w:numId w:val="2"/>
        </w:numPr>
      </w:pPr>
      <w:r>
        <w:t xml:space="preserve">Treatment programme status — % complete, at-risk milestones.</w:t>
      </w:r>
    </w:p>
    <w:p>
      <w:pPr>
        <w:pStyle w:val="ListParagraph"/>
        <w:numPr>
          <w:ilvl w:val="0"/>
          <w:numId w:val="2"/>
        </w:numPr>
      </w:pPr>
      <w:r>
        <w:t xml:space="preserve">Loss event YTD — count and net-loss amount by Basel category.</w:t>
      </w:r>
    </w:p>
    <w:p>
      <w:pPr>
        <w:pStyle w:val="ListParagraph"/>
        <w:numPr>
          <w:ilvl w:val="0"/>
          <w:numId w:val="2"/>
        </w:numPr>
      </w:pPr>
      <w:r>
        <w:t xml:space="preserve">KRI dashboard — green/amber/red counts and material breaches.</w:t>
      </w:r>
    </w:p>
    <w:p>
      <w:pPr>
        <w:pStyle w:val="ListParagraph"/>
        <w:numPr>
          <w:ilvl w:val="0"/>
          <w:numId w:val="2"/>
        </w:numPr>
      </w:pPr>
      <w:r>
        <w:t xml:space="preserve">Regulatory mapping summary — CBN ORMS, Basel III and NDPA obligations covered.</w:t>
      </w:r>
    </w:p>
    <w:p>
      <w:pPr>
        <w:spacing w:before="80" w:after="80"/>
        <w:ind w:left="360"/>
      </w:pPr>
      <w:r>
        <w:rPr>
          <w:b/>
          <w:bCs/>
          <w:color w:val="1F4E79"/>
        </w:rPr>
        <w:t xml:space="preserve">Point-and-say: </w:t>
      </w:r>
      <w:r>
        <w:rPr>
          <w:i/>
          <w:iCs/>
        </w:rPr>
        <w:t xml:space="preserve">"Every figure on this page is clickable — the auditor lands directly on the underlying record. That's the difference between a risk report and an audit-ready evidence base."</w:t>
      </w:r>
    </w:p>
    <w:p>
      <w:r>
        <w:br w:type="page"/>
      </w:r>
    </w:p>
    <w:p>
      <w:pPr>
        <w:pStyle w:val="Heading1"/>
      </w:pPr>
      <w:r>
        <w:t xml:space="preserve">12. Close the demo</w:t>
      </w:r>
    </w:p>
    <w:p>
      <w:pPr>
        <w:pStyle w:val="Heading3"/>
      </w:pPr>
      <w:r>
        <w:t xml:space="preserve">Final talk-track (copy verbatim)</w:t>
      </w:r>
    </w:p>
    <w:p>
      <w:r>
        <w:t xml:space="preserve">"In twenty minutes we took one IT risk — ransomware on core banking — through the full enterprise risk lifecycle. We identified it, assessed it across five impact dimensions, mapped four controls, tested one, opened three treatment plans, monitored three KRIs, recorded a related loss event, raised two issues, visualised it on a heatmap and rolled it up into a board-ready report. All from a single platform, with one audit trail, aligned to CBN, Basel III and NDPA requirements. That's Atheris ERM."</w:t>
      </w:r>
    </w:p>
    <w:p>
      <w:pPr>
        <w:pStyle w:val="Heading3"/>
      </w:pPr>
      <w:r>
        <w:t xml:space="preserve">Likely objections and short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"Can it integrate with our core banking / SIEM / GRC?"</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Yes. KRI collection is automated via API connectors (Splunk, Qualys, KnowBe4 shown in demo); SOC2/ISO evidence is pushed from your existing tooling.</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"Can it support our regulator's format?"</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Yes. CBN ORMS fields are native. NDPA breach notification and NFIU STR templates are generated from loss events.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"How long to deploy?"</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Typical Tier-1 bank deployment: 10–14 weeks including configuration, data migration, SSO, user training and go-live.</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"What about AI?"</w:t>
            </w:r>
          </w:p>
        </w:tc>
        <w:tc>
          <w:tcPr>
            <w:tcW w:type="dxa" w:w="63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top"/>
          </w:tcPr>
          <w:p>
            <w:r>
              <w:rPr>
                <w:sz w:val="20"/>
                <w:szCs w:val="20"/>
              </w:rPr>
              <w:t xml:space="preserve">Risk-statement authoring, control-description authoring and treatment-plan suggestion are AI-assisted. Everything is still reviewed and approved by humans.</w:t>
            </w:r>
          </w:p>
        </w:tc>
      </w:tr>
      <w:tr>
        <w:tc>
          <w:tcPr>
            <w:tcW w:type="dxa" w:w="3000"/>
            <w:tcBorders>
              <w:top w:val="single" w:color="BFBFBF" w:sz="4"/>
              <w:left w:val="single" w:color="BFBFBF" w:sz="4"/>
              <w:bottom w:val="single" w:color="BFBFBF" w:sz="4"/>
              <w:right w:val="single" w:color="BFBFBF" w:sz="4"/>
            </w:tcBorders>
            <w:shd w:fill="D9E7F5" w:color="auto" w:val="clear"/>
            <w:tcMar>
              <w:top w:type="dxa" w:w="80"/>
              <w:left w:type="dxa" w:w="140"/>
              <w:bottom w:type="dxa" w:w="80"/>
              <w:right w:type="dxa" w:w="140"/>
            </w:tcMar>
            <w:vAlign w:val="top"/>
          </w:tcPr>
          <w:p>
            <w:r>
              <w:rPr>
                <w:b/>
                <w:bCs/>
                <w:sz w:val="20"/>
                <w:szCs w:val="20"/>
              </w:rPr>
              <w:t xml:space="preserve">"How does it price?"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top"/>
          </w:tcPr>
          <w:p>
            <w:r>
              <w:rPr>
                <w:sz w:val="20"/>
                <w:szCs w:val="20"/>
              </w:rPr>
              <w:t xml:space="preserve">Licensed by named user and module. Core bundle (Register, RCSA, Controls, KRI, Loss Events, Issues, Reports) starts from a tiered annual fee — we will share a proposal after this session.</w:t>
            </w:r>
          </w:p>
        </w:tc>
      </w:tr>
    </w:tbl>
    <w:p>
      <w:pPr>
        <w:pStyle w:val="Heading3"/>
      </w:pPr>
      <w:r>
        <w:t xml:space="preserve">Leave-behind checklist</w:t>
      </w:r>
    </w:p>
    <w:p>
      <w:pPr>
        <w:pStyle w:val="ListParagraph"/>
        <w:numPr>
          <w:ilvl w:val="0"/>
          <w:numId w:val="2"/>
        </w:numPr>
      </w:pPr>
      <w:r>
        <w:t xml:space="preserve">This walkthrough document (PDF/DOCX).</w:t>
      </w:r>
    </w:p>
    <w:p>
      <w:pPr>
        <w:pStyle w:val="ListParagraph"/>
        <w:numPr>
          <w:ilvl w:val="0"/>
          <w:numId w:val="2"/>
        </w:numPr>
      </w:pPr>
      <w:r>
        <w:t xml:space="preserve">One-page capability summary.</w:t>
      </w:r>
    </w:p>
    <w:p>
      <w:pPr>
        <w:pStyle w:val="ListParagraph"/>
        <w:numPr>
          <w:ilvl w:val="0"/>
          <w:numId w:val="2"/>
        </w:numPr>
      </w:pPr>
      <w:r>
        <w:t xml:space="preserve">CBN ORMS / Basel III / NDPA mapping grid.</w:t>
      </w:r>
    </w:p>
    <w:p>
      <w:pPr>
        <w:pStyle w:val="ListParagraph"/>
        <w:numPr>
          <w:ilvl w:val="0"/>
          <w:numId w:val="2"/>
        </w:numPr>
      </w:pPr>
      <w:r>
        <w:t xml:space="preserve">Indicative pricing and deployment timeline.</w:t>
      </w:r>
    </w:p>
    <w:p>
      <w:r>
        <w:br w:type="page"/>
      </w:r>
    </w:p>
    <w:p>
      <w:pPr>
        <w:pStyle w:val="Heading1"/>
      </w:pPr>
      <w:r>
        <w:t xml:space="preserve">Appendix A — Field &amp; dropdown cheat sheet</w:t>
      </w:r>
    </w:p>
    <w:p>
      <w:r>
        <w:t xml:space="preserve">These are the exact values Atheris accepts in the most commonly-asked dropdown fields. Use this if the audience wants to know 'what are my choices here?'</w:t>
      </w:r>
    </w:p>
    <w:p>
      <w:r>
        <w:t xml:space="preserve"/>
      </w:r>
    </w:p>
    <w:p>
      <w:pPr>
        <w:pStyle w:val="Heading3"/>
      </w:pPr>
      <w:r>
        <w:t xml:space="preserve">Likelihood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rPr>
          <w:tblHeader/>
        </w:trPr>
        <w:tc>
          <w:tcPr>
            <w:tcW w:type="dxa" w:w="1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Score</w:t>
            </w:r>
          </w:p>
        </w:tc>
        <w:tc>
          <w:tcPr>
            <w:tcW w:type="dxa" w:w="2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Label</w:t>
            </w:r>
          </w:p>
        </w:tc>
        <w:tc>
          <w:tcPr>
            <w:tcW w:type="dxa" w:w="6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Guidance</w:t>
            </w:r>
          </w:p>
        </w:tc>
      </w:tr>
      <w:tr>
        <w:tc>
          <w:tcPr>
            <w:tcW w:type="dxa" w:w="1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1</w:t>
            </w:r>
          </w:p>
        </w:tc>
        <w:tc>
          <w:tcPr>
            <w:tcW w:type="dxa" w:w="2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Rare</w:t>
            </w:r>
          </w:p>
        </w:tc>
        <w:tc>
          <w:tcPr>
            <w:tcW w:type="dxa" w:w="6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&lt; 1% probability annually</w:t>
            </w:r>
          </w:p>
        </w:tc>
      </w:tr>
      <w:tr>
        <w:tc>
          <w:tcPr>
            <w:tcW w:type="dxa" w:w="12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2</w:t>
            </w:r>
          </w:p>
        </w:tc>
        <w:tc>
          <w:tcPr>
            <w:tcW w:type="dxa" w:w="21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Unlikely</w:t>
            </w:r>
          </w:p>
        </w:tc>
        <w:tc>
          <w:tcPr>
            <w:tcW w:type="dxa" w:w="60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1 – 10%</w:t>
            </w:r>
          </w:p>
        </w:tc>
      </w:tr>
      <w:tr>
        <w:tc>
          <w:tcPr>
            <w:tcW w:type="dxa" w:w="1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3</w:t>
            </w:r>
          </w:p>
        </w:tc>
        <w:tc>
          <w:tcPr>
            <w:tcW w:type="dxa" w:w="2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Possible</w:t>
            </w:r>
          </w:p>
        </w:tc>
        <w:tc>
          <w:tcPr>
            <w:tcW w:type="dxa" w:w="6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10 – 50%</w:t>
            </w:r>
          </w:p>
        </w:tc>
      </w:tr>
      <w:tr>
        <w:tc>
          <w:tcPr>
            <w:tcW w:type="dxa" w:w="12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4</w:t>
            </w:r>
          </w:p>
        </w:tc>
        <w:tc>
          <w:tcPr>
            <w:tcW w:type="dxa" w:w="21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Likely</w:t>
            </w:r>
          </w:p>
        </w:tc>
        <w:tc>
          <w:tcPr>
            <w:tcW w:type="dxa" w:w="60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50 – 90%</w:t>
            </w:r>
          </w:p>
        </w:tc>
      </w:tr>
      <w:tr>
        <w:tc>
          <w:tcPr>
            <w:tcW w:type="dxa" w:w="1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5</w:t>
            </w:r>
          </w:p>
        </w:tc>
        <w:tc>
          <w:tcPr>
            <w:tcW w:type="dxa" w:w="2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Almost Certain</w:t>
            </w:r>
          </w:p>
        </w:tc>
        <w:tc>
          <w:tcPr>
            <w:tcW w:type="dxa" w:w="6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&gt; 90%</w:t>
            </w:r>
          </w:p>
        </w:tc>
      </w:tr>
    </w:tbl>
    <w:p>
      <w:r>
        <w:t xml:space="preserve"/>
      </w:r>
    </w:p>
    <w:p>
      <w:pPr>
        <w:pStyle w:val="Heading3"/>
      </w:pPr>
      <w:r>
        <w:t xml:space="preserve">Impact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rPr>
          <w:tblHeader/>
        </w:trPr>
        <w:tc>
          <w:tcPr>
            <w:tcW w:type="dxa" w:w="1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Score</w:t>
            </w:r>
          </w:p>
        </w:tc>
        <w:tc>
          <w:tcPr>
            <w:tcW w:type="dxa" w:w="2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Label</w:t>
            </w:r>
          </w:p>
        </w:tc>
        <w:tc>
          <w:tcPr>
            <w:tcW w:type="dxa" w:w="6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Indicative scale</w:t>
            </w:r>
          </w:p>
        </w:tc>
      </w:tr>
      <w:tr>
        <w:tc>
          <w:tcPr>
            <w:tcW w:type="dxa" w:w="1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1</w:t>
            </w:r>
          </w:p>
        </w:tc>
        <w:tc>
          <w:tcPr>
            <w:tcW w:type="dxa" w:w="2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Insignificant</w:t>
            </w:r>
          </w:p>
        </w:tc>
        <w:tc>
          <w:tcPr>
            <w:tcW w:type="dxa" w:w="6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Negligible loss / disruption</w:t>
            </w:r>
          </w:p>
        </w:tc>
      </w:tr>
      <w:tr>
        <w:tc>
          <w:tcPr>
            <w:tcW w:type="dxa" w:w="12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2</w:t>
            </w:r>
          </w:p>
        </w:tc>
        <w:tc>
          <w:tcPr>
            <w:tcW w:type="dxa" w:w="21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Minor</w:t>
            </w:r>
          </w:p>
        </w:tc>
        <w:tc>
          <w:tcPr>
            <w:tcW w:type="dxa" w:w="60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&lt; 1% revenue impact</w:t>
            </w:r>
          </w:p>
        </w:tc>
      </w:tr>
      <w:tr>
        <w:tc>
          <w:tcPr>
            <w:tcW w:type="dxa" w:w="1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3</w:t>
            </w:r>
          </w:p>
        </w:tc>
        <w:tc>
          <w:tcPr>
            <w:tcW w:type="dxa" w:w="2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Moderate</w:t>
            </w:r>
          </w:p>
        </w:tc>
        <w:tc>
          <w:tcPr>
            <w:tcW w:type="dxa" w:w="6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1 – 5% revenue impact</w:t>
            </w:r>
          </w:p>
        </w:tc>
      </w:tr>
      <w:tr>
        <w:tc>
          <w:tcPr>
            <w:tcW w:type="dxa" w:w="12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4</w:t>
            </w:r>
          </w:p>
        </w:tc>
        <w:tc>
          <w:tcPr>
            <w:tcW w:type="dxa" w:w="21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Major</w:t>
            </w:r>
          </w:p>
        </w:tc>
        <w:tc>
          <w:tcPr>
            <w:tcW w:type="dxa" w:w="60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5 – 10% revenue impact</w:t>
            </w:r>
          </w:p>
        </w:tc>
      </w:tr>
      <w:tr>
        <w:tc>
          <w:tcPr>
            <w:tcW w:type="dxa" w:w="1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5</w:t>
            </w:r>
          </w:p>
        </w:tc>
        <w:tc>
          <w:tcPr>
            <w:tcW w:type="dxa" w:w="2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Catastrophic</w:t>
            </w:r>
          </w:p>
        </w:tc>
        <w:tc>
          <w:tcPr>
            <w:tcW w:type="dxa" w:w="6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&gt; 10% revenue impact</w:t>
            </w:r>
          </w:p>
        </w:tc>
      </w:tr>
    </w:tbl>
    <w:p>
      <w:r>
        <w:t xml:space="preserve"/>
      </w:r>
    </w:p>
    <w:p>
      <w:pPr>
        <w:pStyle w:val="Heading3"/>
      </w:pPr>
      <w:r>
        <w:t xml:space="preserve">Risk rating thresholds (auto-computed)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Score</w:t>
            </w:r>
          </w:p>
        </w:tc>
        <w:tc>
          <w:tcPr>
            <w:tcW w:type="dxa" w:w="468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Rating</w:t>
            </w:r>
          </w:p>
        </w:tc>
      </w:tr>
      <w:tr>
        <w:tc>
          <w:tcPr>
            <w:tcW w:type="dxa" w:w="4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1 – 5</w:t>
            </w:r>
          </w:p>
        </w:tc>
        <w:tc>
          <w:tcPr>
            <w:tcW w:type="dxa" w:w="4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bCs/>
                <w:color w:val="548235"/>
                <w:sz w:val="20"/>
                <w:szCs w:val="20"/>
              </w:rPr>
              <w:t xml:space="preserve">Low</w:t>
            </w:r>
          </w:p>
        </w:tc>
      </w:tr>
      <w:tr>
        <w:tc>
          <w:tcPr>
            <w:tcW w:type="dxa" w:w="4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6 – 11</w:t>
            </w:r>
          </w:p>
        </w:tc>
        <w:tc>
          <w:tcPr>
            <w:tcW w:type="dxa" w:w="4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bCs/>
                <w:color w:val="BF9000"/>
                <w:sz w:val="20"/>
                <w:szCs w:val="20"/>
              </w:rPr>
              <w:t xml:space="preserve">Medium</w:t>
            </w:r>
          </w:p>
        </w:tc>
      </w:tr>
      <w:tr>
        <w:tc>
          <w:tcPr>
            <w:tcW w:type="dxa" w:w="4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12 – 19</w:t>
            </w:r>
          </w:p>
        </w:tc>
        <w:tc>
          <w:tcPr>
            <w:tcW w:type="dxa" w:w="4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bCs/>
                <w:color w:val="B45F06"/>
                <w:sz w:val="20"/>
                <w:szCs w:val="20"/>
              </w:rPr>
              <w:t xml:space="preserve">High</w:t>
            </w:r>
          </w:p>
        </w:tc>
      </w:tr>
      <w:tr>
        <w:tc>
          <w:tcPr>
            <w:tcW w:type="dxa" w:w="4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 20</w:t>
            </w:r>
          </w:p>
        </w:tc>
        <w:tc>
          <w:tcPr>
            <w:tcW w:type="dxa" w:w="4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bCs/>
                <w:color w:val="C00000"/>
                <w:sz w:val="20"/>
                <w:szCs w:val="20"/>
              </w:rPr>
              <w:t xml:space="preserve">Critical</w:t>
            </w:r>
          </w:p>
        </w:tc>
      </w:tr>
    </w:tbl>
    <w:p>
      <w:r>
        <w:t xml:space="preserve"/>
      </w:r>
    </w:p>
    <w:p>
      <w:pPr>
        <w:pStyle w:val="Heading3"/>
      </w:pPr>
      <w:r>
        <w:t xml:space="preserve">Common dropdown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Field</w:t>
            </w:r>
          </w:p>
        </w:tc>
        <w:tc>
          <w:tcPr>
            <w:tcW w:type="dxa" w:w="6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Values</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Risk Source</w:t>
            </w:r>
          </w:p>
        </w:tc>
        <w:tc>
          <w:tcPr>
            <w:tcW w:type="dxa" w:w="65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Self-Identified  •  Audit Finding  •  Regulatory  •  Incident  •  RCSA  •  External</w:t>
            </w:r>
          </w:p>
        </w:tc>
      </w:tr>
      <w:tr>
        <w:tc>
          <w:tcPr>
            <w:tcW w:type="dxa" w:w="28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Treatment Strategy</w:t>
            </w:r>
          </w:p>
        </w:tc>
        <w:tc>
          <w:tcPr>
            <w:tcW w:type="dxa" w:w="65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Mitigate  •  Accept  •  Transfer  •  Avoid</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Control Type</w:t>
            </w:r>
          </w:p>
        </w:tc>
        <w:tc>
          <w:tcPr>
            <w:tcW w:type="dxa" w:w="65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Preventive  •  Detective  •  Corrective  •  Directive</w:t>
            </w:r>
          </w:p>
        </w:tc>
      </w:tr>
      <w:tr>
        <w:tc>
          <w:tcPr>
            <w:tcW w:type="dxa" w:w="28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Control Nature</w:t>
            </w:r>
          </w:p>
        </w:tc>
        <w:tc>
          <w:tcPr>
            <w:tcW w:type="dxa" w:w="65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Manual  •  Automated  •  Semi-Automated</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Control Frequency</w:t>
            </w:r>
          </w:p>
        </w:tc>
        <w:tc>
          <w:tcPr>
            <w:tcW w:type="dxa" w:w="65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Continuous  •  Daily  •  Weekly  •  Monthly  •  Quarterly  •  Annually  •  Ad-hoc</w:t>
            </w:r>
          </w:p>
        </w:tc>
      </w:tr>
      <w:tr>
        <w:tc>
          <w:tcPr>
            <w:tcW w:type="dxa" w:w="28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Effectiveness Rating</w:t>
            </w:r>
          </w:p>
        </w:tc>
        <w:tc>
          <w:tcPr>
            <w:tcW w:type="dxa" w:w="65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Effective (100%)  •  Partially Effective (50%)  •  Ineffective (0%)</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Priority</w:t>
            </w:r>
          </w:p>
        </w:tc>
        <w:tc>
          <w:tcPr>
            <w:tcW w:type="dxa" w:w="65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Low  •  Medium  •  High  •  Urgent  •  Critical</w:t>
            </w:r>
          </w:p>
        </w:tc>
      </w:tr>
      <w:tr>
        <w:tc>
          <w:tcPr>
            <w:tcW w:type="dxa" w:w="28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Issue Severity</w:t>
            </w:r>
          </w:p>
        </w:tc>
        <w:tc>
          <w:tcPr>
            <w:tcW w:type="dxa" w:w="65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Low  •  Medium  •  High  •  Critical</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KRI Direction</w:t>
            </w:r>
          </w:p>
        </w:tc>
        <w:tc>
          <w:tcPr>
            <w:tcW w:type="dxa" w:w="65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Ascending (higher = worse)  •  Descending (lower = worse)</w:t>
            </w:r>
          </w:p>
        </w:tc>
      </w:tr>
      <w:tr>
        <w:tc>
          <w:tcPr>
            <w:tcW w:type="dxa" w:w="28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Loss Event Status</w:t>
            </w:r>
          </w:p>
        </w:tc>
        <w:tc>
          <w:tcPr>
            <w:tcW w:type="dxa" w:w="65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Reported  •  Under Investigation  •  Under Root Cause Analysis  •  Remediation Planned  •  Remediation In Progress  •  Closed</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Assessment Type</w:t>
            </w:r>
          </w:p>
        </w:tc>
        <w:tc>
          <w:tcPr>
            <w:tcW w:type="dxa" w:w="65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Periodic  •  Event-Driven  •  Initial</w:t>
            </w:r>
          </w:p>
        </w:tc>
      </w:tr>
      <w:tr>
        <w:tc>
          <w:tcPr>
            <w:tcW w:type="dxa" w:w="28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Review Frequency</w:t>
            </w:r>
          </w:p>
        </w:tc>
        <w:tc>
          <w:tcPr>
            <w:tcW w:type="dxa" w:w="656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Monthly  •  Quarterly  •  Semi-Annual  •  Annual</w:t>
            </w:r>
          </w:p>
        </w:tc>
      </w:tr>
    </w:tbl>
    <w:p>
      <w:r>
        <w:br w:type="page"/>
      </w:r>
    </w:p>
    <w:p>
      <w:pPr>
        <w:pStyle w:val="Heading1"/>
      </w:pPr>
      <w:r>
        <w:t xml:space="preserve">Appendix B — Scenario record index</w:t>
      </w:r>
    </w:p>
    <w:p>
      <w:r>
        <w:t xml:space="preserve">Every record created during this demo, at a glance.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680"/>
        <w:gridCol w:w="1680"/>
      </w:tblGrid>
      <w:tr>
        <w:trPr>
          <w:tblHeader/>
        </w:trPr>
        <w:tc>
          <w:tcPr>
            <w:tcW w:type="dxa" w:w="1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Code</w:t>
            </w:r>
          </w:p>
        </w:tc>
        <w:tc>
          <w:tcPr>
            <w:tcW w:type="dxa" w:w="1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Type</w:t>
            </w:r>
          </w:p>
        </w:tc>
        <w:tc>
          <w:tcPr>
            <w:tcW w:type="dxa" w:w="468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Title</w:t>
            </w:r>
          </w:p>
        </w:tc>
        <w:tc>
          <w:tcPr>
            <w:tcW w:type="dxa" w:w="168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r>
              <w:rPr>
                <w:b/>
                <w:bCs/>
                <w:color w:val="FFFFFF"/>
                <w:sz w:val="22"/>
                <w:szCs w:val="22"/>
              </w:rPr>
              <w:t xml:space="preserve">Status</w:t>
            </w:r>
          </w:p>
        </w:tc>
      </w:tr>
      <w:tr>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RISK-IT-001</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Risk</w:t>
            </w:r>
          </w:p>
        </w:tc>
        <w:tc>
          <w:tcPr>
            <w:tcW w:type="dxa" w:w="4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Ransomware Encryption of Core Banking Infrastructure</w:t>
            </w:r>
          </w:p>
        </w:tc>
        <w:tc>
          <w:tcPr>
            <w:tcW w:type="dxa" w:w="1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Active — Residual High</w:t>
            </w:r>
          </w:p>
        </w:tc>
      </w:tr>
      <w:tr>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RISK-IT-002</w:t>
            </w:r>
          </w:p>
        </w:tc>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Risk (supporting)</w:t>
            </w:r>
          </w:p>
        </w:tc>
        <w:tc>
          <w:tcPr>
            <w:tcW w:type="dxa" w:w="4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Unauthorised privileged access via compromised admin credentials</w:t>
            </w:r>
          </w:p>
        </w:tc>
        <w:tc>
          <w:tcPr>
            <w:tcW w:type="dxa" w:w="1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Active — Residual Medium</w:t>
            </w:r>
          </w:p>
        </w:tc>
      </w:tr>
      <w:tr>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RISK-IT-003</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Risk (supporting)</w:t>
            </w:r>
          </w:p>
        </w:tc>
        <w:tc>
          <w:tcPr>
            <w:tcW w:type="dxa" w:w="4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Third-party payment gateway service disruption</w:t>
            </w:r>
          </w:p>
        </w:tc>
        <w:tc>
          <w:tcPr>
            <w:tcW w:type="dxa" w:w="1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Active — Residual Medium</w:t>
            </w:r>
          </w:p>
        </w:tc>
      </w:tr>
      <w:tr>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RISK-IT-004</w:t>
            </w:r>
          </w:p>
        </w:tc>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Risk (supporting)</w:t>
            </w:r>
          </w:p>
        </w:tc>
        <w:tc>
          <w:tcPr>
            <w:tcW w:type="dxa" w:w="4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Data loss due to mis-configured cloud storage bucket</w:t>
            </w:r>
          </w:p>
        </w:tc>
        <w:tc>
          <w:tcPr>
            <w:tcW w:type="dxa" w:w="1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Active — Residual Medium</w:t>
            </w:r>
          </w:p>
        </w:tc>
      </w:tr>
      <w:tr>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RA-IT-2026-Q1</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Assessment</w:t>
            </w:r>
          </w:p>
        </w:tc>
        <w:tc>
          <w:tcPr>
            <w:tcW w:type="dxa" w:w="4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Q1 2026 periodic assessment of RISK-IT-001</w:t>
            </w:r>
          </w:p>
        </w:tc>
        <w:tc>
          <w:tcPr>
            <w:tcW w:type="dxa" w:w="1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Submitted</w:t>
            </w:r>
          </w:p>
        </w:tc>
      </w:tr>
      <w:tr>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CTL-IT-001</w:t>
            </w:r>
          </w:p>
        </w:tc>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Control</w:t>
            </w:r>
          </w:p>
        </w:tc>
        <w:tc>
          <w:tcPr>
            <w:tcW w:type="dxa" w:w="4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Endpoint Detection &amp; Response (EDR)</w:t>
            </w:r>
          </w:p>
        </w:tc>
        <w:tc>
          <w:tcPr>
            <w:tcW w:type="dxa" w:w="1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Active — 78%</w:t>
            </w:r>
          </w:p>
        </w:tc>
      </w:tr>
      <w:tr>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CTL-IT-002</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Control</w:t>
            </w:r>
          </w:p>
        </w:tc>
        <w:tc>
          <w:tcPr>
            <w:tcW w:type="dxa" w:w="4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Immutable Offline Backups</w:t>
            </w:r>
          </w:p>
        </w:tc>
        <w:tc>
          <w:tcPr>
            <w:tcW w:type="dxa" w:w="1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Active — 95%</w:t>
            </w:r>
          </w:p>
        </w:tc>
      </w:tr>
      <w:tr>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CTL-IT-003</w:t>
            </w:r>
          </w:p>
        </w:tc>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Control</w:t>
            </w:r>
          </w:p>
        </w:tc>
        <w:tc>
          <w:tcPr>
            <w:tcW w:type="dxa" w:w="4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MFA on Privileged Access</w:t>
            </w:r>
          </w:p>
        </w:tc>
        <w:tc>
          <w:tcPr>
            <w:tcW w:type="dxa" w:w="1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Active — 65%</w:t>
            </w:r>
          </w:p>
        </w:tc>
      </w:tr>
      <w:tr>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CTL-IT-004</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Control</w:t>
            </w:r>
          </w:p>
        </w:tc>
        <w:tc>
          <w:tcPr>
            <w:tcW w:type="dxa" w:w="4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Monthly Security Patch Cycle</w:t>
            </w:r>
          </w:p>
        </w:tc>
        <w:tc>
          <w:tcPr>
            <w:tcW w:type="dxa" w:w="1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Active — 72%</w:t>
            </w:r>
          </w:p>
        </w:tc>
      </w:tr>
      <w:tr>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TST-IT-001</w:t>
            </w:r>
          </w:p>
        </w:tc>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Control Test</w:t>
            </w:r>
          </w:p>
        </w:tc>
        <w:tc>
          <w:tcPr>
            <w:tcW w:type="dxa" w:w="4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Q1 2026 EDR Coverage &amp; Triage Test</w:t>
            </w:r>
          </w:p>
        </w:tc>
        <w:tc>
          <w:tcPr>
            <w:tcW w:type="dxa" w:w="1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Completed — 78/100</w:t>
            </w:r>
          </w:p>
        </w:tc>
      </w:tr>
      <w:tr>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TPL-IT-001</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Treatment Plan</w:t>
            </w:r>
          </w:p>
        </w:tc>
        <w:tc>
          <w:tcPr>
            <w:tcW w:type="dxa" w:w="4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Zero-Trust Network Segmentation Programme</w:t>
            </w:r>
          </w:p>
        </w:tc>
        <w:tc>
          <w:tcPr>
            <w:tcW w:type="dxa" w:w="1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In Progress — 35%</w:t>
            </w:r>
          </w:p>
        </w:tc>
      </w:tr>
      <w:tr>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TPL-IT-002</w:t>
            </w:r>
          </w:p>
        </w:tc>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Treatment Plan</w:t>
            </w:r>
          </w:p>
        </w:tc>
        <w:tc>
          <w:tcPr>
            <w:tcW w:type="dxa" w:w="4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DR / Cyber-Recovery Uplift</w:t>
            </w:r>
          </w:p>
        </w:tc>
        <w:tc>
          <w:tcPr>
            <w:tcW w:type="dxa" w:w="1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In Progress — 50%</w:t>
            </w:r>
          </w:p>
        </w:tc>
      </w:tr>
      <w:tr>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TPL-IT-003</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Treatment Plan</w:t>
            </w:r>
          </w:p>
        </w:tc>
        <w:tc>
          <w:tcPr>
            <w:tcW w:type="dxa" w:w="4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PAM Rollout Completion</w:t>
            </w:r>
          </w:p>
        </w:tc>
        <w:tc>
          <w:tcPr>
            <w:tcW w:type="dxa" w:w="1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In Progress — 60%</w:t>
            </w:r>
          </w:p>
        </w:tc>
      </w:tr>
      <w:tr>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KRI-IT-001</w:t>
            </w:r>
          </w:p>
        </w:tc>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KRI</w:t>
            </w:r>
          </w:p>
        </w:tc>
        <w:tc>
          <w:tcPr>
            <w:tcW w:type="dxa" w:w="4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Patch Compliance — Critical Assets</w:t>
            </w:r>
          </w:p>
        </w:tc>
        <w:tc>
          <w:tcPr>
            <w:tcW w:type="dxa" w:w="1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Amber — 86%</w:t>
            </w:r>
          </w:p>
        </w:tc>
      </w:tr>
      <w:tr>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KRI-IT-002</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KRI</w:t>
            </w:r>
          </w:p>
        </w:tc>
        <w:tc>
          <w:tcPr>
            <w:tcW w:type="dxa" w:w="4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Phishing Simulation Click Rate</w:t>
            </w:r>
          </w:p>
        </w:tc>
        <w:tc>
          <w:tcPr>
            <w:tcW w:type="dxa" w:w="1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Amber — 6.2%</w:t>
            </w:r>
          </w:p>
        </w:tc>
      </w:tr>
      <w:tr>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KRI-IT-003</w:t>
            </w:r>
          </w:p>
        </w:tc>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KRI</w:t>
            </w:r>
          </w:p>
        </w:tc>
        <w:tc>
          <w:tcPr>
            <w:tcW w:type="dxa" w:w="4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High/Critical Security Incidents per Month</w:t>
            </w:r>
          </w:p>
        </w:tc>
        <w:tc>
          <w:tcPr>
            <w:tcW w:type="dxa" w:w="1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RED — 6</w:t>
            </w:r>
          </w:p>
        </w:tc>
      </w:tr>
      <w:tr>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LOSS-IT-2026-001</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Loss Event</w:t>
            </w:r>
          </w:p>
        </w:tc>
        <w:tc>
          <w:tcPr>
            <w:tcW w:type="dxa" w:w="4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Lagos VI USB malware outbreak — contained</w:t>
            </w:r>
          </w:p>
        </w:tc>
        <w:tc>
          <w:tcPr>
            <w:tcW w:type="dxa" w:w="1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Under RCA — Net loss ₦3.2M</w:t>
            </w:r>
          </w:p>
        </w:tc>
      </w:tr>
      <w:tr>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ISS-IT-001</w:t>
            </w:r>
          </w:p>
        </w:tc>
        <w:tc>
          <w:tcPr>
            <w:tcW w:type="dxa" w:w="150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Issue</w:t>
            </w:r>
          </w:p>
        </w:tc>
        <w:tc>
          <w:tcPr>
            <w:tcW w:type="dxa" w:w="4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USB device-control policy gap</w:t>
            </w:r>
          </w:p>
        </w:tc>
        <w:tc>
          <w:tcPr>
            <w:tcW w:type="dxa" w:w="1680"/>
            <w:tcBorders>
              <w:top w:val="single" w:color="BFBFBF" w:sz="4"/>
              <w:left w:val="single" w:color="BFBFBF" w:sz="4"/>
              <w:bottom w:val="single" w:color="BFBFBF" w:sz="4"/>
              <w:right w:val="single" w:color="BFBFBF" w:sz="4"/>
            </w:tcBorders>
            <w:shd w:fill="F5F8FB" w:color="auto" w:val="clear"/>
            <w:tcMar>
              <w:top w:type="dxa" w:w="80"/>
              <w:left w:type="dxa" w:w="140"/>
              <w:bottom w:type="dxa" w:w="80"/>
              <w:right w:type="dxa" w:w="140"/>
            </w:tcMar>
            <w:vAlign w:val="center"/>
          </w:tcPr>
          <w:p>
            <w:r>
              <w:rPr>
                <w:b w:val="false"/>
                <w:bCs w:val="false"/>
                <w:color w:val="000000"/>
                <w:sz w:val="20"/>
                <w:szCs w:val="20"/>
              </w:rPr>
              <w:t xml:space="preserve">In Progress — 40%</w:t>
            </w:r>
          </w:p>
        </w:tc>
      </w:tr>
      <w:tr>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ISS-IT-002</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Issue</w:t>
            </w:r>
          </w:p>
        </w:tc>
        <w:tc>
          <w:tcPr>
            <w:tcW w:type="dxa" w:w="4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DR restore time exceeds target</w:t>
            </w:r>
          </w:p>
        </w:tc>
        <w:tc>
          <w:tcPr>
            <w:tcW w:type="dxa" w:w="168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r>
              <w:rPr>
                <w:b w:val="false"/>
                <w:bCs w:val="false"/>
                <w:color w:val="000000"/>
                <w:sz w:val="20"/>
                <w:szCs w:val="20"/>
              </w:rPr>
              <w:t xml:space="preserve">In Progress — 50%</w:t>
            </w:r>
          </w:p>
        </w:tc>
      </w:tr>
    </w:tbl>
    <w:p>
      <w:r>
        <w:t xml:space="preserve"/>
      </w:r>
    </w:p>
    <w:p>
      <w:pPr>
        <w:spacing w:before="480"/>
        <w:jc w:val="center"/>
      </w:pPr>
      <w:r>
        <w:rPr>
          <w:i/>
          <w:iCs/>
          <w:color w:val="808080"/>
        </w:rPr>
        <w:t xml:space="preserve">— End of demo guide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808080"/>
        <w:sz w:val="18"/>
        <w:szCs w:val="18"/>
      </w:rPr>
      <w:t xml:space="preserve">IT Risk Scenario — Ransomware on Core Banking</w:t>
    </w:r>
    <w:r>
      <w:rPr>
        <w:color w:val="808080"/>
        <w:sz w:val="18"/>
        <w:szCs w:val="18"/>
      </w:rPr>
      <w:t xml:space="preserve">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b/>
        <w:bCs/>
        <w:color w:val="1F4E79"/>
        <w:sz w:val="20"/>
        <w:szCs w:val="20"/>
      </w:rPr>
      <w:t xml:space="preserve">ATHERIS ERM</w:t>
    </w:r>
    <w:r>
      <w:rPr>
        <w:color w:val="808080"/>
        <w:sz w:val="20"/>
        <w:szCs w:val="20"/>
      </w:rPr>
      <w:t xml:space="preserve">  •  Demo Walkthrough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b/>
      <w:bCs/>
      <w:color w:val="1F4E79"/>
      <w:sz w:val="36"/>
      <w:szCs w:val="36"/>
      <w:rFonts w:ascii="Calibri" w:cs="Calibri" w:eastAsia="Calibri" w:hAnsi="Calibri"/>
    </w:rPr>
  </w:style>
  <w:style w:type="paragraph" w:styleId="Heading2">
    <w:name w:val="Heading 2"/>
    <w:basedOn w:val="Normal"/>
    <w:next w:val="Normal"/>
    <w:qFormat/>
    <w:pPr>
      <w:spacing w:before="200" w:after="120"/>
      <w:outlineLvl w:val="1"/>
    </w:pPr>
    <w:rPr>
      <w:b/>
      <w:bCs/>
      <w:color w:val="1F4E79"/>
      <w:sz w:val="28"/>
      <w:szCs w:val="28"/>
      <w:rFonts w:ascii="Calibri" w:cs="Calibri" w:eastAsia="Calibri" w:hAnsi="Calibri"/>
    </w:rPr>
  </w:style>
  <w:style w:type="paragraph" w:styleId="Heading3">
    <w:name w:val="Heading 3"/>
    <w:basedOn w:val="Normal"/>
    <w:next w:val="Normal"/>
    <w:qFormat/>
    <w:pPr>
      <w:spacing w:before="160" w:after="80"/>
      <w:outlineLvl w:val="2"/>
    </w:pPr>
    <w:rPr>
      <w:b/>
      <w:bCs/>
      <w:color w:val="2E5A88"/>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Atheris ERM — IT Risk Demo Walkthrough Guide</dc:title>
  <dc:creator>Atheris ERM</dc:creator>
  <cp:lastModifiedBy>Un-named</cp:lastModifiedBy>
  <cp:revision>1</cp:revision>
  <dcterms:created xsi:type="dcterms:W3CDTF">2026-04-24T12:41:25.408Z</dcterms:created>
  <dcterms:modified xsi:type="dcterms:W3CDTF">2026-04-24T12:41:25.408Z</dcterms:modified>
</cp:coreProperties>
</file>

<file path=docProps/custom.xml><?xml version="1.0" encoding="utf-8"?>
<Properties xmlns="http://schemas.openxmlformats.org/officeDocument/2006/custom-properties" xmlns:vt="http://schemas.openxmlformats.org/officeDocument/2006/docPropsVTypes"/>
</file>