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t xml:space="preserve">Technical Requirements Document</w:t>
      </w:r>
    </w:p>
    <w:p>
      <w:pPr>
        <w:spacing w:after="200"/>
        <w:jc w:val="center"/>
      </w:pPr>
      <w:r>
        <w:t xml:space="preserve">GRC Risk Management Platform</w:t>
      </w:r>
    </w:p>
    <w:p>
      <w:pPr>
        <w:spacing w:after="400"/>
        <w:jc w:val="center"/>
      </w:pPr>
      <w:r>
        <w:t xml:space="preserve">Complete Implementation Plan for Production Readiness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6"/>
          <w:insideV w:val="single" w:color="CCCCCC" w:sz="6"/>
        </w:tblBorders>
      </w:tblPr>
      <w:tblGrid>
        <w:gridCol w:w="100"/>
        <w:gridCol w:w="100"/>
      </w:tblGrid>
      <w:tr>
        <w:tc>
          <w:tcPr>
            <w:shd w:color="36609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Property</w:t>
            </w:r>
          </w:p>
        </w:tc>
        <w:tc>
          <w:tcPr>
            <w:shd w:color="36609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Value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Version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1.0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Date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February 23, 2026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Prepared for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Mohammed Ali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Platform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Laravel 12.x / PHP 8.2+ / Blade + Tailwind CSS</w:t>
            </w:r>
          </w:p>
        </w:tc>
      </w:tr>
    </w:tbl>
    <w:p>
      <w:pPr>
        <w:spacing w:after="400"/>
      </w:pPr>
    </w:p>
    <w:r>
      <w:br w:type="page"/>
    </w:r>
    <w:p>
      <w:pPr>
        <w:pStyle w:val="Heading1"/>
        <w:spacing w:before="100" w:after="200"/>
      </w:pPr>
      <w:r>
        <w:t xml:space="preserve">TABLE OF CONTENTS</w:t>
      </w:r>
    </w:p>
    <w:p>
      <w:pPr>
        <w:spacing w:after="100"/>
      </w:pPr>
      <w:r>
        <w:t xml:space="preserve">1.  Executive Summary</w:t>
      </w:r>
    </w:p>
    <w:p>
      <w:pPr>
        <w:spacing w:after="100"/>
      </w:pPr>
      <w:r>
        <w:t xml:space="preserve">2.  Authentication &amp; Authorization System</w:t>
      </w:r>
    </w:p>
    <w:p>
      <w:pPr>
        <w:spacing w:after="100"/>
      </w:pPr>
      <w:r>
        <w:t xml:space="preserve">3.  Service Integration (Wiring Up Existing Services)</w:t>
      </w:r>
    </w:p>
    <w:p>
      <w:pPr>
        <w:spacing w:after="100"/>
      </w:pPr>
      <w:r>
        <w:t xml:space="preserve">4.  Event-Driven Architecture</w:t>
      </w:r>
    </w:p>
    <w:p>
      <w:pPr>
        <w:spacing w:after="100"/>
      </w:pPr>
      <w:r>
        <w:t xml:space="preserve">5.  Model Relationship Fixes</w:t>
      </w:r>
    </w:p>
    <w:p>
      <w:pPr>
        <w:spacing w:after="100"/>
      </w:pPr>
      <w:r>
        <w:t xml:space="preserve">6.  Notification System</w:t>
      </w:r>
    </w:p>
    <w:p>
      <w:pPr>
        <w:spacing w:after="100"/>
      </w:pPr>
      <w:r>
        <w:t xml:space="preserve">7.  File Upload &amp; Attachment System</w:t>
      </w:r>
    </w:p>
    <w:p>
      <w:pPr>
        <w:spacing w:after="100"/>
      </w:pPr>
      <w:r>
        <w:t xml:space="preserve">8.  Scheduled Jobs</w:t>
      </w:r>
    </w:p>
    <w:p>
      <w:pPr>
        <w:spacing w:after="100"/>
      </w:pPr>
      <w:r>
        <w:t xml:space="preserve">9.  Risk Appetite Monitoring Engine</w:t>
      </w:r>
    </w:p>
    <w:p>
      <w:pPr>
        <w:spacing w:after="100"/>
      </w:pPr>
      <w:r>
        <w:t xml:space="preserve">10. Regulatory Reporting Engine (Nigerian-Specific)</w:t>
      </w:r>
    </w:p>
    <w:p>
      <w:pPr>
        <w:spacing w:after="100"/>
      </w:pPr>
      <w:r>
        <w:t xml:space="preserve">11. Maker-Checker Workflow Engine</w:t>
      </w:r>
    </w:p>
    <w:p>
      <w:pPr>
        <w:spacing w:after="100"/>
      </w:pPr>
      <w:r>
        <w:t xml:space="preserve">12. Monte Carlo Quantification Engine</w:t>
      </w:r>
    </w:p>
    <w:p>
      <w:pPr>
        <w:spacing w:after="100"/>
      </w:pPr>
      <w:r>
        <w:t xml:space="preserve">13. AI Intelligence Module (Dummy Data for Presentation)</w:t>
      </w:r>
    </w:p>
    <w:p>
      <w:pPr>
        <w:spacing w:after="100"/>
      </w:pPr>
      <w:r>
        <w:t xml:space="preserve">14. User Management &amp; Organization Settings</w:t>
      </w:r>
    </w:p>
    <w:p>
      <w:pPr>
        <w:spacing w:after="100"/>
      </w:pPr>
      <w:r>
        <w:t xml:space="preserve">15. Near-Miss to Loss Event Conversion</w:t>
      </w:r>
    </w:p>
    <w:p>
      <w:pPr>
        <w:spacing w:after="100"/>
      </w:pPr>
      <w:r>
        <w:t xml:space="preserve">16. Implementation Timeline</w:t>
      </w:r>
    </w:p>
    <w:p>
      <w:pPr>
        <w:spacing w:after="400"/>
      </w:pPr>
      <w:r>
        <w:t xml:space="preserve">17. Technical Specifications Table</w:t>
      </w:r>
    </w:p>
    <w:r>
      <w:br w:type="page"/>
    </w:r>
    <w:p>
      <w:pPr>
        <w:pStyle w:val="Heading1"/>
        <w:spacing w:before="100" w:after="150"/>
      </w:pPr>
      <w:r>
        <w:t xml:space="preserve">1. EXECUTIVE SUMMARY</w:t>
      </w:r>
    </w:p>
    <w:p>
      <w:pPr>
        <w:spacing w:after="100"/>
      </w:pPr>
      <w:r>
        <w:t xml:space="preserve">The GRC Risk Management Platform is currently at 72% production readiness. This Technical Requirements Document outlines a comprehensive implementation plan spanning 16 critical workstreams required to achieve full production readiness and establish Nigerian market leadership.</w:t>
      </w:r>
    </w:p>
    <w:p>
      <w:pPr>
        <w:spacing w:after="200"/>
      </w:pPr>
      <w:r>
        <w:t xml:space="preserve">The document covers authentication, service integration, event-driven architecture, regulatory compliance, AI analytics, and infrastructure improvements across 10 weeks and 4 implementation phases.</w:t>
      </w:r>
    </w:p>
    <w:r>
      <w:br w:type="page"/>
    </w:r>
    <w:p>
      <w:pPr>
        <w:pStyle w:val="Heading1"/>
        <w:spacing w:before="100" w:after="150"/>
      </w:pPr>
      <w:r>
        <w:t xml:space="preserve">2. AUTHENTICATION &amp; AUTHORIZATION SYSTEM</w:t>
      </w:r>
    </w:p>
    <w:p>
      <w:pPr>
        <w:pStyle w:val="Heading2"/>
        <w:spacing w:before="100" w:after="100"/>
      </w:pPr>
      <w:r>
        <w:t xml:space="preserve">2.1 Requirements</w:t>
      </w:r>
    </w:p>
    <w:p>
      <w:pPr>
        <w:spacing w:after="100"/>
      </w:pPr>
      <w:r>
        <w:t xml:space="preserve">The authentication system must replace the AutoLoginDev middleware and provide production-ready security controls: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Full authentication system with Login/Register/Forgot Password/Reset Password screens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Session management with 15-minute timeout enforced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Account lockout after 5 failed login attempts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Password policy: minimum 12 characters with uppercase, lowercase, number, special character</w:t>
      </w:r>
    </w:p>
    <w:p>
      <w:pPr>
        <w:pStyle w:val="ListParagraph"/>
        <w:numPr>
          <w:ilvl w:val="0"/>
          <w:numId w:val="1"/>
        </w:numPr>
        <w:spacing w:after="200"/>
        <w:ind w:left="720"/>
      </w:pPr>
      <w:r>
        <w:t xml:space="preserve">TOTP-based Multi-Factor Authentication (MFA) - CBN requirement for financial systems</w:t>
      </w:r>
    </w:p>
    <w:p>
      <w:pPr>
        <w:pStyle w:val="Heading2"/>
        <w:spacing w:before="100" w:after="100"/>
      </w:pPr>
      <w:r>
        <w:t xml:space="preserve">2.2 Role-Based Access Control (RBAC)</w:t>
      </w:r>
    </w:p>
    <w:p>
      <w:pPr>
        <w:spacing w:after="100"/>
      </w:pPr>
      <w:r>
        <w:t xml:space="preserve">Nine predefined roles with 46 permissions already seeded via Spatie Laravel-Permission: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6"/>
          <w:insideV w:val="single" w:color="CCCCCC" w:sz="6"/>
        </w:tblBorders>
      </w:tblPr>
      <w:tblGrid>
        <w:gridCol w:w="100"/>
        <w:gridCol w:w="100"/>
      </w:tblGrid>
      <w:tr>
        <w:tc>
          <w:tcPr>
            <w:shd w:color="36609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Role</w:t>
            </w:r>
          </w:p>
        </w:tc>
        <w:tc>
          <w:tcPr>
            <w:shd w:color="36609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super-admin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System administrator with all permissions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chief-risk-officer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Risk strategy and board reporting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risk-manager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Risk assessment and approval authority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risk-analyst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Risk identification and measurement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control-owner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Control effectiveness assessment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business-unit-head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Business unit leadership access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compliance-officer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Regulatory compliance monitoring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auditor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Audit access and review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read-only-user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Dashboard and reporting access</w:t>
            </w:r>
          </w:p>
        </w:tc>
      </w:tr>
    </w:tbl>
    <w:p>
      <w:pPr>
        <w:spacing w:after="200"/>
      </w:pPr>
    </w:p>
    <w:p>
      <w:pPr>
        <w:pStyle w:val="Heading2"/>
        <w:spacing w:before="100" w:after="100"/>
      </w:pPr>
      <w:r>
        <w:t xml:space="preserve">2.3 Implementation Steps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Step 1: Create auth migrations with mfa_secret, mfa_enabled, login_attempts, locked_until columns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Step 2: Create AuthController with login, register, logout, MFA verification methods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Step 3: Create auth views (login, register, forgot-password, reset-password, mfa-verify)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Step 4: Create auth middleware (EnsureAuthenticated, EnsureMfaVerified, SessionTimeout)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Step 5: Update routes with auth middleware groups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Step 6: Add @can/@cannot directives to all 68 views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Step 7: Create UserManagementController with full CRUD</w:t>
      </w:r>
    </w:p>
    <w:p>
      <w:pPr>
        <w:pStyle w:val="ListParagraph"/>
        <w:numPr>
          <w:ilvl w:val="0"/>
          <w:numId w:val="1"/>
        </w:numPr>
        <w:spacing w:after="200"/>
        <w:ind w:left="720"/>
      </w:pPr>
      <w:r>
        <w:t xml:space="preserve">Step 8: Create user management views and routes</w:t>
      </w:r>
    </w:p>
    <w:r>
      <w:br w:type="page"/>
    </w:r>
    <w:p>
      <w:pPr>
        <w:pStyle w:val="Heading1"/>
        <w:spacing w:before="100" w:after="150"/>
      </w:pPr>
      <w:r>
        <w:t xml:space="preserve">3. SERVICE INTEGRATION (WIRING UP EXISTING SERVICES)</w:t>
      </w:r>
    </w:p>
    <w:p>
      <w:pPr>
        <w:spacing w:after="200"/>
      </w:pPr>
      <w:r>
        <w:t xml:space="preserve">Several business logic services have been implemented but are not yet integrated throughout the codebase. This section defines integration points.</w:t>
      </w:r>
    </w:p>
    <w:p>
      <w:pPr>
        <w:pStyle w:val="Heading2"/>
        <w:spacing w:before="100" w:after="100"/>
      </w:pPr>
      <w:r>
        <w:t xml:space="preserve">3.1 RiskScoringService Integration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Replace inline scoring in RiskRegisterController.store() and update() with service calls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Call service in RiskAssessmentController.approve() after RCSA approval</w:t>
      </w:r>
    </w:p>
    <w:p>
      <w:pPr>
        <w:pStyle w:val="ListParagraph"/>
        <w:numPr>
          <w:ilvl w:val="0"/>
          <w:numId w:val="1"/>
        </w:numPr>
        <w:spacing w:after="200"/>
        <w:ind w:left="720"/>
      </w:pPr>
      <w:r>
        <w:t xml:space="preserve">Invoke from ControlEffectivenessService when controls change</w:t>
      </w:r>
    </w:p>
    <w:p>
      <w:pPr>
        <w:pStyle w:val="Heading2"/>
        <w:spacing w:before="100" w:after="100"/>
      </w:pPr>
      <w:r>
        <w:t xml:space="preserve">3.2 ControlEffectivenessService Integration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Call recalculateForRisk() in ControlController.update() after effectiveness changes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Call in linkToRisk() and unlinkFromRisk() methods</w:t>
      </w:r>
    </w:p>
    <w:p>
      <w:pPr>
        <w:pStyle w:val="ListParagraph"/>
        <w:numPr>
          <w:ilvl w:val="0"/>
          <w:numId w:val="1"/>
        </w:numPr>
        <w:spacing w:after="200"/>
        <w:ind w:left="720"/>
      </w:pPr>
      <w:r>
        <w:t xml:space="preserve">Invoke from RcsaController.storeWorksheet() after RCSA assessments</w:t>
      </w:r>
    </w:p>
    <w:p>
      <w:pPr>
        <w:pStyle w:val="Heading2"/>
        <w:spacing w:before="100" w:after="100"/>
      </w:pPr>
      <w:r>
        <w:t xml:space="preserve">3.3 RegulatoryThresholdService Integration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Call evaluateThresholds() in LossEventController.store() after creating loss event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Call when loss amounts are updated in LossEventController.update()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Display regulatory alerts in loss event show view</w:t>
      </w:r>
    </w:p>
    <w:p>
      <w:pPr>
        <w:pStyle w:val="ListParagraph"/>
        <w:numPr>
          <w:ilvl w:val="0"/>
          <w:numId w:val="1"/>
        </w:numPr>
        <w:spacing w:after="200"/>
        <w:ind w:left="720"/>
      </w:pPr>
      <w:r>
        <w:t xml:space="preserve">Store alerts in notifications_log table for tracking</w:t>
      </w:r>
    </w:p>
    <w:p>
      <w:pPr>
        <w:pStyle w:val="Heading2"/>
        <w:spacing w:before="100" w:after="100"/>
      </w:pPr>
      <w:r>
        <w:t xml:space="preserve">3.4 ReferenceCodeService Integration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Replace manual code generation in RiskRegisterController (risk_code)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Use in LossEventController (event_reference), IssueController (issue_reference)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Use in KriController (kri_code), TreatmentPlanController (treatment_code)</w:t>
      </w:r>
    </w:p>
    <w:p>
      <w:pPr>
        <w:pStyle w:val="ListParagraph"/>
        <w:numPr>
          <w:ilvl w:val="0"/>
          <w:numId w:val="1"/>
        </w:numPr>
        <w:spacing w:after="200"/>
        <w:ind w:left="720"/>
      </w:pPr>
      <w:r>
        <w:t xml:space="preserve">Use in QuantificationController (scenario_reference)</w:t>
      </w:r>
    </w:p>
    <w:p>
      <w:pPr>
        <w:pStyle w:val="Heading2"/>
        <w:spacing w:before="100" w:after="100"/>
      </w:pPr>
      <w:r>
        <w:t xml:space="preserve">3.5 AuditTrailService Expansion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Add to ControlController (store, update, destroy)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Add to RiskAssessmentController (store, update, approve, reject)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Add to KriController (store, update, recordMeasurement)</w:t>
      </w:r>
    </w:p>
    <w:p>
      <w:pPr>
        <w:pStyle w:val="ListParagraph"/>
        <w:numPr>
          <w:ilvl w:val="0"/>
          <w:numId w:val="1"/>
        </w:numPr>
        <w:spacing w:after="200"/>
        <w:ind w:left="720"/>
      </w:pPr>
      <w:r>
        <w:t xml:space="preserve">Add to LossEventController and QuantificationController</w:t>
      </w:r>
    </w:p>
    <w:r>
      <w:br w:type="page"/>
    </w:r>
    <w:p>
      <w:pPr>
        <w:pStyle w:val="Heading1"/>
        <w:spacing w:before="100" w:after="150"/>
      </w:pPr>
      <w:r>
        <w:t xml:space="preserve">4. EVENT-DRIVEN ARCHITECTURE</w:t>
      </w:r>
    </w:p>
    <w:p>
      <w:pPr>
        <w:pStyle w:val="Heading2"/>
        <w:spacing w:before="100" w:after="100"/>
      </w:pPr>
      <w:r>
        <w:t xml:space="preserve">4.1 Events to Create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c>
          <w:tcPr>
            <w:shd w:color="36609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Event</w:t>
            </w:r>
          </w:p>
        </w:tc>
        <w:tc>
          <w:tcPr>
            <w:shd w:color="36609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Trigger Condition</w:t>
            </w:r>
          </w:p>
        </w:tc>
        <w:tc>
          <w:tcPr>
            <w:shd w:color="36609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Key Data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ControlUpdated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Control effectiveness changes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control_id, old_rating, new_rating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KriBreachDetected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KRI crosses red threshold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kri_id, measurement, threshold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LossEventCreated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New loss event recorded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loss_event_id, amount, category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LossEventAmountChanged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Loss amounts updated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loss_event_id, old_amount, new_amount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TreatmentCompleted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Treatment status changes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treatment_id, risk_id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IssueOverdue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Issue passes target date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issue_id, target_date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RiskAppetiteBreached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Risk scores exceed appetite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risk_category_id, score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AssessmentApproved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RCSA assessment approved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assessment_id, risk_id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NearMissConverted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Near-miss becomes loss event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near_miss_id, loss_event_id</w:t>
            </w:r>
          </w:p>
        </w:tc>
      </w:tr>
    </w:tbl>
    <w:p>
      <w:pPr>
        <w:spacing w:after="200"/>
      </w:pPr>
    </w:p>
    <w:p>
      <w:pPr>
        <w:pStyle w:val="Heading2"/>
        <w:spacing w:before="100" w:after="100"/>
      </w:pPr>
      <w:r>
        <w:t xml:space="preserve">4.2 Listeners to Create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c>
          <w:tcPr>
            <w:shd w:color="36609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Listener</w:t>
            </w:r>
          </w:p>
        </w:tc>
        <w:tc>
          <w:tcPr>
            <w:shd w:color="36609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Listens To</w:t>
            </w:r>
          </w:p>
        </w:tc>
        <w:tc>
          <w:tcPr>
            <w:shd w:color="36609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Action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RecalculateResidualRisk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ControlUpdated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Recalculates linked risks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EscalateRiskOnKriBreach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KriBreachDetected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Flags for CRO review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EvaluateRegulatoryThresholds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LossEventCreated/AmountChanged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Evaluates against CBN limits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SendNotification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All events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Creates notifications_log entries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UpdateRiskFromAssessment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AssessmentApproved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Updates risk with assessment scores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TriggerRiskReassessment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TreatmentCompleted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Flags risk for re-assessment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FlagRiskForReview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LossEventCreated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Flags repeat events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LogAuditTrail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All entity changes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Records in audit trail</w:t>
            </w:r>
          </w:p>
        </w:tc>
      </w:tr>
    </w:tbl>
    <w:p>
      <w:pPr>
        <w:spacing w:after="200"/>
      </w:pPr>
    </w:p>
    <w:r>
      <w:br w:type="page"/>
    </w:r>
    <w:p>
      <w:pPr>
        <w:pStyle w:val="Heading1"/>
        <w:spacing w:before="100" w:after="150"/>
      </w:pPr>
      <w:r>
        <w:t xml:space="preserve">5. MODEL RELATIONSHIP FIXES</w:t>
      </w:r>
    </w:p>
    <w:p>
      <w:pPr>
        <w:pStyle w:val="Heading2"/>
        <w:spacing w:before="100" w:after="100"/>
      </w:pPr>
      <w:r>
        <w:t xml:space="preserve">5.1 Missing Reverse Relationships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36609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Model</w:t>
            </w:r>
          </w:p>
        </w:tc>
        <w:tc>
          <w:tcPr>
            <w:shd w:color="36609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Add Relationship</w:t>
            </w:r>
          </w:p>
        </w:tc>
        <w:tc>
          <w:tcPr>
            <w:shd w:color="36609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Type</w:t>
            </w:r>
          </w:p>
        </w:tc>
        <w:tc>
          <w:tcPr>
            <w:shd w:color="36609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Related Model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Control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nearMisses()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hasMany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NearMiss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Control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failedInEvents()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hasMany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LossEventControl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Risk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nearMisses()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hasMany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NearMiss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LossEvent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convertedNearMisses()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hasMany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NearMiss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User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ownedRisks()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hasMany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Risk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User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ownedControls()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hasMany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Control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User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ownedIssues()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hasMany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Issue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User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assessments()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hasMany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RiskAssessment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RiskCategory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appetiteStatements()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hasMany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RiskAppetite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BusinessProcess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risks()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hasMany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Risk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BusinessUnit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controls()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hasMany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Control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BusinessUnit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lossEvents()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hasMany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LossEvent</w:t>
            </w:r>
          </w:p>
        </w:tc>
      </w:tr>
    </w:tbl>
    <w:p>
      <w:pPr>
        <w:spacing w:after="200"/>
      </w:pPr>
    </w:p>
    <w:p>
      <w:pPr>
        <w:pStyle w:val="Heading2"/>
        <w:spacing w:before="100" w:after="100"/>
      </w:pPr>
      <w:r>
        <w:t xml:space="preserve">5.2 KRI Dual Relationship Resolution</w:t>
      </w:r>
    </w:p>
    <w:p>
      <w:pPr>
        <w:spacing w:after="80"/>
      </w:pPr>
      <w:r>
        <w:t xml:space="preserve">Issue: KeyRiskIndicator has both direct belongsTo(Risk) and belongsToMany via pivot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Remove belongsTo(Risk, risk_id) from KeyRiskIndicator model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Keep only belongsToMany via risk_kri_mapping pivot table</w:t>
      </w:r>
    </w:p>
    <w:p>
      <w:pPr>
        <w:pStyle w:val="ListParagraph"/>
        <w:numPr>
          <w:ilvl w:val="0"/>
          <w:numId w:val="1"/>
        </w:numPr>
        <w:spacing w:after="200"/>
        <w:ind w:left="720"/>
      </w:pPr>
      <w:r>
        <w:t xml:space="preserve">Update KriController to use risks() relationship</w:t>
      </w:r>
    </w:p>
    <w:r>
      <w:br w:type="page"/>
    </w:r>
    <w:p>
      <w:pPr>
        <w:pStyle w:val="Heading1"/>
        <w:spacing w:before="100" w:after="150"/>
      </w:pPr>
      <w:r>
        <w:t xml:space="preserve">6. NOTIFICATION SYSTEM</w:t>
      </w:r>
    </w:p>
    <w:p>
      <w:pPr>
        <w:pStyle w:val="Heading2"/>
        <w:spacing w:before="100" w:after="100"/>
      </w:pPr>
      <w:r>
        <w:t xml:space="preserve">6.1 Database Structure</w:t>
      </w:r>
    </w:p>
    <w:p>
      <w:pPr>
        <w:spacing w:after="100"/>
      </w:pPr>
      <w:r>
        <w:t xml:space="preserve">Add to notifications_log table: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c>
          <w:tcPr>
            <w:shd w:color="36609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Column</w:t>
            </w:r>
          </w:p>
        </w:tc>
        <w:tc>
          <w:tcPr>
            <w:shd w:color="36609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Type</w:t>
            </w:r>
          </w:p>
        </w:tc>
        <w:tc>
          <w:tcPr>
            <w:shd w:color="36609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Purpose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read_at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timestamp nullable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Track when read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notification_category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enum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breach_alert, approval_request, etc.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action_url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string nullable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Navigation link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priority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enum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low, medium, high, critical</w:t>
            </w:r>
          </w:p>
        </w:tc>
      </w:tr>
    </w:tbl>
    <w:p>
      <w:pPr>
        <w:spacing w:after="200"/>
      </w:pPr>
    </w:p>
    <w:p>
      <w:pPr>
        <w:pStyle w:val="Heading2"/>
        <w:spacing w:before="100" w:after="100"/>
      </w:pPr>
      <w:r>
        <w:t xml:space="preserve">6.2 NotificationService Methods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send(user, message, category, priority, action_url) - Create and send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markAsRead(notification_id) - Update read timestamp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markAllAsRead(user_id) - Mark all user notifications as read</w:t>
      </w:r>
    </w:p>
    <w:p>
      <w:pPr>
        <w:pStyle w:val="ListParagraph"/>
        <w:numPr>
          <w:ilvl w:val="0"/>
          <w:numId w:val="1"/>
        </w:numPr>
        <w:spacing w:after="200"/>
        <w:ind w:left="720"/>
      </w:pPr>
      <w:r>
        <w:t xml:space="preserve">getUnread(user_id) - Get unread notifications</w:t>
      </w:r>
    </w:p>
    <w:r>
      <w:br w:type="page"/>
    </w:r>
    <w:p>
      <w:pPr>
        <w:pStyle w:val="Heading1"/>
        <w:spacing w:before="100" w:after="150"/>
      </w:pPr>
      <w:r>
        <w:t xml:space="preserve">7. FILE UPLOAD &amp; ATTACHMENT SYSTEM</w:t>
      </w:r>
    </w:p>
    <w:p>
      <w:pPr>
        <w:pStyle w:val="Heading2"/>
        <w:spacing w:before="100" w:after="100"/>
      </w:pPr>
      <w:r>
        <w:t xml:space="preserve">7.1 Requirements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Supported types: PDF, DOCX, XLSX, JPG, PNG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Max 10MB per file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Storage: storage/app/attachments/{entity_type}/{entity_id}/</w:t>
      </w:r>
    </w:p>
    <w:p>
      <w:pPr>
        <w:pStyle w:val="ListParagraph"/>
        <w:numPr>
          <w:ilvl w:val="0"/>
          <w:numId w:val="1"/>
        </w:numPr>
        <w:spacing w:after="200"/>
        <w:ind w:left="720"/>
      </w:pPr>
      <w:r>
        <w:t xml:space="preserve">Support Loss Events, Issues, Controls</w:t>
      </w:r>
    </w:p>
    <w:p>
      <w:pPr>
        <w:pStyle w:val="Heading2"/>
        <w:spacing w:before="100" w:after="100"/>
      </w:pPr>
      <w:r>
        <w:t xml:space="preserve">7.2 Implementation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Create FileUploadService with upload(), download(), delete() methods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Create AttachmentController with store, download, destroy actions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Update entity forms with file upload fields</w:t>
      </w:r>
    </w:p>
    <w:p>
      <w:pPr>
        <w:pStyle w:val="ListParagraph"/>
        <w:numPr>
          <w:ilvl w:val="0"/>
          <w:numId w:val="1"/>
        </w:numPr>
        <w:spacing w:after="200"/>
        <w:ind w:left="720"/>
      </w:pPr>
      <w:r>
        <w:t xml:space="preserve">Configure storage link in public directory</w:t>
      </w:r>
    </w:p>
    <w:r>
      <w:br w:type="page"/>
    </w:r>
    <w:p>
      <w:pPr>
        <w:pStyle w:val="Heading1"/>
        <w:spacing w:before="100" w:after="150"/>
      </w:pPr>
      <w:r>
        <w:t xml:space="preserve">8. SCHEDULED JOBS</w:t>
      </w:r>
    </w:p>
    <w:p>
      <w:pPr>
        <w:pStyle w:val="Heading2"/>
        <w:spacing w:before="100" w:after="100"/>
      </w:pPr>
      <w:r>
        <w:t xml:space="preserve">8.1 Jobs to Implement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c>
          <w:tcPr>
            <w:shd w:color="36609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Job</w:t>
            </w:r>
          </w:p>
        </w:tc>
        <w:tc>
          <w:tcPr>
            <w:shd w:color="36609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Frequency</w:t>
            </w:r>
          </w:p>
        </w:tc>
        <w:tc>
          <w:tcPr>
            <w:shd w:color="36609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Action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CheckOverdueIssues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Daily 08:00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Call IssueEscalationService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CheckOverdueTreatments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Daily 08:00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Flag overdue treatments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CheckKriBreaches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Daily 09:00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Evaluate KRI vs thresholds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CheckRegulatoryDeadlines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Daily 08:30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Warn about CBN deadlines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GenerateMonthlyMetrics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Monthly 1st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Pre-calculate statistics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CleanupOldNotifications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Weekly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Archive 90+ day old records</w:t>
            </w:r>
          </w:p>
        </w:tc>
      </w:tr>
    </w:tbl>
    <w:p>
      <w:pPr>
        <w:spacing w:after="200"/>
      </w:pPr>
    </w:p>
    <w:r>
      <w:br w:type="page"/>
    </w:r>
    <w:p>
      <w:pPr>
        <w:pStyle w:val="Heading1"/>
        <w:spacing w:before="100" w:after="150"/>
      </w:pPr>
      <w:r>
        <w:t xml:space="preserve">9. RISK APPETITE MONITORING ENGINE</w:t>
      </w:r>
    </w:p>
    <w:p>
      <w:pPr>
        <w:pStyle w:val="Heading2"/>
        <w:spacing w:before="100" w:after="100"/>
      </w:pPr>
      <w:r>
        <w:t xml:space="preserve">RiskAppetiteService Methods: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compareAgainstActual() - Compare avg scores vs tolerance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getAppetiteUtilization() - Calculate % of appetite consumed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getBreaches() - List categories exceeding capacity</w:t>
      </w:r>
    </w:p>
    <w:p>
      <w:pPr>
        <w:pStyle w:val="ListParagraph"/>
        <w:numPr>
          <w:ilvl w:val="0"/>
          <w:numId w:val="1"/>
        </w:numPr>
        <w:spacing w:after="200"/>
        <w:ind w:left="720"/>
      </w:pPr>
      <w:r>
        <w:t xml:space="preserve">generateAppetiteGauge() - Data for dashboard gauges</w:t>
      </w:r>
    </w:p>
    <w:p>
      <w:pPr>
        <w:pStyle w:val="Heading2"/>
        <w:spacing w:before="100" w:after="100"/>
      </w:pPr>
      <w:r>
        <w:t xml:space="preserve">Integration Points: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Dashboard with appetite utilization section and gauge charts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Board Report with appetite breach section</w:t>
      </w:r>
    </w:p>
    <w:p>
      <w:pPr>
        <w:pStyle w:val="ListParagraph"/>
        <w:numPr>
          <w:ilvl w:val="0"/>
          <w:numId w:val="1"/>
        </w:numPr>
        <w:spacing w:after="200"/>
        <w:ind w:left="720"/>
      </w:pPr>
      <w:r>
        <w:t xml:space="preserve">Risk Register with appetite status badge per risk</w:t>
      </w:r>
    </w:p>
    <w:r>
      <w:br w:type="page"/>
    </w:r>
    <w:p>
      <w:pPr>
        <w:pStyle w:val="Heading1"/>
        <w:spacing w:before="100" w:after="150"/>
      </w:pPr>
      <w:r>
        <w:t xml:space="preserve">10. REGULATORY REPORTING ENGINE (NIGERIAN-SPECIFIC)</w:t>
      </w:r>
    </w:p>
    <w:p>
      <w:pPr>
        <w:pStyle w:val="Heading2"/>
        <w:spacing w:before="100" w:after="100"/>
      </w:pPr>
      <w:r>
        <w:t xml:space="preserve">10.1 Reports to Generate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36609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Report</w:t>
            </w:r>
          </w:p>
        </w:tc>
        <w:tc>
          <w:tcPr>
            <w:shd w:color="36609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Frequency</w:t>
            </w:r>
          </w:p>
        </w:tc>
        <w:tc>
          <w:tcPr>
            <w:shd w:color="36609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Data Source</w:t>
            </w:r>
          </w:p>
        </w:tc>
        <w:tc>
          <w:tcPr>
            <w:shd w:color="36609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Purpose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CBN Operational Risk Return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Quarterly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LossEvent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Regulatory compliance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Loss Event Summary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Quarterly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LossEvent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Basel category analysis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Control Effectiveness Summary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Monthly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Control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Control status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KRI Status Report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Monthly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KeyRiskIndicator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KRI monitoring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Risk Appetite Compliance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Monthly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Risk + Appetite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Appetite utilization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ICAAP Summary Report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Annual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All data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Capital adequacy</w:t>
            </w:r>
          </w:p>
        </w:tc>
      </w:tr>
    </w:tbl>
    <w:p>
      <w:pPr>
        <w:spacing w:after="200"/>
      </w:pPr>
    </w:p>
    <w:r>
      <w:br w:type="page"/>
    </w:r>
    <w:p>
      <w:pPr>
        <w:pStyle w:val="Heading1"/>
        <w:spacing w:before="100" w:after="150"/>
      </w:pPr>
      <w:r>
        <w:t xml:space="preserve">11. MAKER-CHECKER WORKFLOW ENGINE</w:t>
      </w:r>
    </w:p>
    <w:p>
      <w:pPr>
        <w:pStyle w:val="Heading2"/>
        <w:spacing w:before="100" w:after="100"/>
      </w:pPr>
      <w:r>
        <w:t xml:space="preserve">11.1 Entities Requiring Approval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36609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Entity</w:t>
            </w:r>
          </w:p>
        </w:tc>
        <w:tc>
          <w:tcPr>
            <w:shd w:color="36609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Change Type</w:t>
            </w:r>
          </w:p>
        </w:tc>
        <w:tc>
          <w:tcPr>
            <w:shd w:color="36609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Approver</w:t>
            </w:r>
          </w:p>
        </w:tc>
        <w:tc>
          <w:tcPr>
            <w:shd w:color="36609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Notes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Risk Register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New or rating change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risk-manager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Affects profile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Controls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Effectiveness change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control-owner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Impacts residual risk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Risk Appetite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Tolerance change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chief-risk-officer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Board-level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KRI Thresholds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Threshold change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chief-risk-officer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CRO sign-off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Treatment Plans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Plan changes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risk-manager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Implementation approval</w:t>
            </w:r>
          </w:p>
        </w:tc>
      </w:tr>
    </w:tbl>
    <w:p>
      <w:pPr>
        <w:spacing w:after="200"/>
      </w:pPr>
    </w:p>
    <w:p>
      <w:pPr>
        <w:pStyle w:val="Heading2"/>
        <w:spacing w:before="100" w:after="100"/>
      </w:pPr>
      <w:r>
        <w:t xml:space="preserve">11.2 ApprovalService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requestApproval() - Create pending approval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approve() - Process approval with audit trail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reject() - Process rejection with reason</w:t>
      </w:r>
    </w:p>
    <w:p>
      <w:pPr>
        <w:pStyle w:val="ListParagraph"/>
        <w:numPr>
          <w:ilvl w:val="0"/>
          <w:numId w:val="1"/>
        </w:numPr>
        <w:spacing w:after="200"/>
        <w:ind w:left="720"/>
      </w:pPr>
      <w:r>
        <w:t xml:space="preserve">getMyPendingApprovals() - Dashboard query</w:t>
      </w:r>
    </w:p>
    <w:r>
      <w:br w:type="page"/>
    </w:r>
    <w:p>
      <w:pPr>
        <w:pStyle w:val="Heading1"/>
        <w:spacing w:before="100" w:after="150"/>
      </w:pPr>
      <w:r>
        <w:t xml:space="preserve">12. MONTE CARLO QUANTIFICATION ENGINE</w:t>
      </w:r>
    </w:p>
    <w:p>
      <w:pPr>
        <w:pStyle w:val="Heading2"/>
        <w:spacing w:before="100" w:after="100"/>
      </w:pPr>
      <w:r>
        <w:t xml:space="preserve">MonteCarloService Methods: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generateRandomVariates() - Poisson frequency, Lognormal severity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runSimulation() - Execute N iterations (default 10,000)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calculateVaR() - Value at Risk at 95%, 99% confidence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calculateCVaR() - Conditional VaR (Expected Shortfall)</w:t>
      </w:r>
    </w:p>
    <w:p>
      <w:pPr>
        <w:pStyle w:val="ListParagraph"/>
        <w:numPr>
          <w:ilvl w:val="0"/>
          <w:numId w:val="1"/>
        </w:numPr>
        <w:spacing w:after="200"/>
        <w:ind w:left="720"/>
      </w:pPr>
      <w:r>
        <w:t xml:space="preserve">aggregateResults() - Combine scenarios with correlations</w:t>
      </w:r>
    </w:p>
    <w:p>
      <w:pPr>
        <w:spacing w:after="200"/>
      </w:pPr>
      <w:r>
        <w:t xml:space="preserve">Store results in simulation_results table. Feed into ICAAP calculations.</w:t>
      </w:r>
    </w:p>
    <w:r>
      <w:br w:type="page"/>
    </w:r>
    <w:p>
      <w:pPr>
        <w:pStyle w:val="Heading1"/>
        <w:spacing w:before="100" w:after="150"/>
      </w:pPr>
      <w:r>
        <w:t xml:space="preserve">13. AI INTELLIGENCE MODULE (DUMMY DATA FOR PRESENTATION)</w:t>
      </w:r>
    </w:p>
    <w:p>
      <w:pPr>
        <w:spacing w:after="100"/>
      </w:pPr>
      <w:r>
        <w:t xml:space="preserve">Approach: Create AiDataService generating realistic demo analytics using curated data.</w:t>
      </w:r>
    </w:p>
    <w:p>
      <w:pPr>
        <w:pStyle w:val="Heading2"/>
        <w:spacing w:before="100" w:after="100"/>
      </w:pPr>
      <w:r>
        <w:t xml:space="preserve">13.1 Features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Predictive Risk Analytics - Trend lines and projections from historical data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Risk Radar - Emerging risks with confidence scores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Regulatory Pulse - Nigerian regulatory updates (CBN/SEC/NFIU)</w:t>
      </w:r>
    </w:p>
    <w:p>
      <w:pPr>
        <w:pStyle w:val="ListParagraph"/>
        <w:numPr>
          <w:ilvl w:val="0"/>
          <w:numId w:val="1"/>
        </w:numPr>
        <w:spacing w:after="200"/>
        <w:ind w:left="720"/>
      </w:pPr>
      <w:r>
        <w:t xml:space="preserve">Benchmarking - Industry comparison metrics</w:t>
      </w:r>
    </w:p>
    <w:r>
      <w:br w:type="page"/>
    </w:r>
    <w:p>
      <w:pPr>
        <w:pStyle w:val="Heading1"/>
        <w:spacing w:before="100" w:after="150"/>
      </w:pPr>
      <w:r>
        <w:t xml:space="preserve">14. USER MANAGEMENT &amp; ORGANIZATION SETTINGS</w:t>
      </w:r>
    </w:p>
    <w:p>
      <w:pPr>
        <w:pStyle w:val="Heading2"/>
        <w:spacing w:before="100" w:after="100"/>
      </w:pPr>
      <w:r>
        <w:t xml:space="preserve">14.1 User Management (Admin Only)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Full CRUD with soft deletes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Role assignment with multi-select picker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Permission viewer for role hierarchy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Activity log per user</w:t>
      </w:r>
    </w:p>
    <w:p>
      <w:pPr>
        <w:pStyle w:val="ListParagraph"/>
        <w:numPr>
          <w:ilvl w:val="0"/>
          <w:numId w:val="1"/>
        </w:numPr>
        <w:spacing w:after="200"/>
        <w:ind w:left="720"/>
      </w:pPr>
      <w:r>
        <w:t xml:space="preserve">Bulk CSV import for onboarding</w:t>
      </w:r>
    </w:p>
    <w:p>
      <w:pPr>
        <w:pStyle w:val="Heading2"/>
        <w:spacing w:before="100" w:after="100"/>
      </w:pPr>
      <w:r>
        <w:t xml:space="preserve">14.2 Organization Settings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Organization profile (name, CBN code, NDIC number)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Regulatory thresholds configuration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Risk scoring methodology settings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Notification preferences and channels</w:t>
      </w:r>
    </w:p>
    <w:p>
      <w:pPr>
        <w:pStyle w:val="ListParagraph"/>
        <w:numPr>
          <w:ilvl w:val="0"/>
          <w:numId w:val="1"/>
        </w:numPr>
        <w:spacing w:after="200"/>
        <w:ind w:left="720"/>
      </w:pPr>
      <w:r>
        <w:t xml:space="preserve">Fiscal year and branding configuration</w:t>
      </w:r>
    </w:p>
    <w:r>
      <w:br w:type="page"/>
    </w:r>
    <w:p>
      <w:pPr>
        <w:pStyle w:val="Heading1"/>
        <w:spacing w:before="100" w:after="150"/>
      </w:pPr>
      <w:r>
        <w:t xml:space="preserve">15. NEAR-MISS TO LOSS EVENT CONVERSION</w:t>
      </w:r>
    </w:p>
    <w:p>
      <w:pPr>
        <w:pStyle w:val="Heading2"/>
        <w:spacing w:before="100" w:after="100"/>
      </w:pPr>
      <w:r>
        <w:t xml:space="preserve">15.1 Requirements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"Convert to Loss Event" button on near-miss detail page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Pre-populate loss event form from near-miss data</w:t>
      </w:r>
    </w:p>
    <w:p>
      <w:pPr>
        <w:pStyle w:val="ListParagraph"/>
        <w:numPr>
          <w:ilvl w:val="0"/>
          <w:numId w:val="1"/>
        </w:numPr>
        <w:spacing w:after="80"/>
        <w:ind w:left="720"/>
      </w:pPr>
      <w:r>
        <w:t xml:space="preserve">Link via converted_loss_event_id on near_misses table</w:t>
      </w:r>
    </w:p>
    <w:p>
      <w:pPr>
        <w:pStyle w:val="ListParagraph"/>
        <w:numPr>
          <w:ilvl w:val="0"/>
          <w:numId w:val="1"/>
        </w:numPr>
        <w:spacing w:after="200"/>
        <w:ind w:left="720"/>
      </w:pPr>
      <w:r>
        <w:t xml:space="preserve">Maintain complete audit trail of conversion</w:t>
      </w:r>
    </w:p>
    <w:r>
      <w:br w:type="page"/>
    </w:r>
    <w:p>
      <w:pPr>
        <w:pStyle w:val="Heading1"/>
        <w:spacing w:before="100" w:after="150"/>
      </w:pPr>
      <w:r>
        <w:t xml:space="preserve">16. IMPLEMENTATION TIMELINE</w:t>
      </w:r>
    </w:p>
    <w:p>
      <w:pPr>
        <w:spacing w:after="200"/>
      </w:pPr>
      <w:r>
        <w:t xml:space="preserve">Total Duration: 10 weeks across 4 phases. Recommended team: 2-3 developers.</w:t>
      </w:r>
    </w:p>
    <w:p>
      <w:pPr>
        <w:pStyle w:val="Heading2"/>
        <w:spacing w:before="100" w:after="100"/>
      </w:pPr>
      <w:r>
        <w:t xml:space="preserve">Phase 1: Foundation (Weeks 1-2)</w:t>
      </w:r>
    </w:p>
    <w:p>
      <w:pPr>
        <w:spacing w:after="60"/>
        <w:ind w:left="720"/>
      </w:pPr>
      <w:r>
        <w:t xml:space="preserve">Authentication &amp; Authorization (6 days)</w:t>
      </w:r>
    </w:p>
    <w:p>
      <w:pPr>
        <w:spacing w:after="60"/>
        <w:ind w:left="720"/>
      </w:pPr>
      <w:r>
        <w:t xml:space="preserve">Service Integration (4 days)</w:t>
      </w:r>
    </w:p>
    <w:p>
      <w:pPr>
        <w:spacing w:after="200"/>
        <w:ind w:left="720"/>
      </w:pPr>
      <w:r>
        <w:t xml:space="preserve">Model Relationship Fixes (3 days)</w:t>
      </w:r>
    </w:p>
    <w:p>
      <w:pPr>
        <w:pStyle w:val="Heading2"/>
        <w:spacing w:before="100" w:after="100"/>
      </w:pPr>
      <w:r>
        <w:t xml:space="preserve">Phase 2: Core Features (Weeks 3-4)</w:t>
      </w:r>
    </w:p>
    <w:p>
      <w:pPr>
        <w:spacing w:after="60"/>
        <w:ind w:left="720"/>
      </w:pPr>
      <w:r>
        <w:t xml:space="preserve">Event-Driven Architecture (5 days)</w:t>
      </w:r>
    </w:p>
    <w:p>
      <w:pPr>
        <w:spacing w:after="60"/>
        <w:ind w:left="720"/>
      </w:pPr>
      <w:r>
        <w:t xml:space="preserve">Notification System (4 days)</w:t>
      </w:r>
    </w:p>
    <w:p>
      <w:pPr>
        <w:spacing w:after="60"/>
        <w:ind w:left="720"/>
      </w:pPr>
      <w:r>
        <w:t xml:space="preserve">File Upload &amp; Attachments (3 days)</w:t>
      </w:r>
    </w:p>
    <w:p>
      <w:pPr>
        <w:spacing w:after="200"/>
        <w:ind w:left="720"/>
      </w:pPr>
      <w:r>
        <w:t xml:space="preserve">Scheduled Jobs (2 days)</w:t>
      </w:r>
    </w:p>
    <w:p>
      <w:pPr>
        <w:pStyle w:val="Heading2"/>
        <w:spacing w:before="100" w:after="100"/>
      </w:pPr>
      <w:r>
        <w:t xml:space="preserve">Phase 3: Advanced Features (Weeks 5-8)</w:t>
      </w:r>
    </w:p>
    <w:p>
      <w:pPr>
        <w:spacing w:after="60"/>
        <w:ind w:left="720"/>
      </w:pPr>
      <w:r>
        <w:t xml:space="preserve">Risk Appetite Monitoring (3 days)</w:t>
      </w:r>
    </w:p>
    <w:p>
      <w:pPr>
        <w:spacing w:after="60"/>
        <w:ind w:left="720"/>
      </w:pPr>
      <w:r>
        <w:t xml:space="preserve">Maker-Checker Workflow (5 days)</w:t>
      </w:r>
    </w:p>
    <w:p>
      <w:pPr>
        <w:spacing w:after="60"/>
        <w:ind w:left="720"/>
      </w:pPr>
      <w:r>
        <w:t xml:space="preserve">Monte Carlo Engine (5 days)</w:t>
      </w:r>
    </w:p>
    <w:p>
      <w:pPr>
        <w:spacing w:after="200"/>
        <w:ind w:left="720"/>
      </w:pPr>
      <w:r>
        <w:t xml:space="preserve">Regulatory Reporting (6 days)</w:t>
      </w:r>
    </w:p>
    <w:p>
      <w:pPr>
        <w:pStyle w:val="Heading2"/>
        <w:spacing w:before="100" w:after="100"/>
      </w:pPr>
      <w:r>
        <w:t xml:space="preserve">Phase 4: Intelligence &amp; Polish (Weeks 9-10)</w:t>
      </w:r>
    </w:p>
    <w:p>
      <w:pPr>
        <w:spacing w:after="60"/>
        <w:ind w:left="720"/>
      </w:pPr>
      <w:r>
        <w:t xml:space="preserve">AI Intelligence Module (3 days)</w:t>
      </w:r>
    </w:p>
    <w:p>
      <w:pPr>
        <w:spacing w:after="60"/>
        <w:ind w:left="720"/>
      </w:pPr>
      <w:r>
        <w:t xml:space="preserve">User Management &amp; Org Settings (2 days)</w:t>
      </w:r>
    </w:p>
    <w:p>
      <w:pPr>
        <w:spacing w:after="60"/>
        <w:ind w:left="720"/>
      </w:pPr>
      <w:r>
        <w:t xml:space="preserve">Near-Miss Conversion (1 day)</w:t>
      </w:r>
    </w:p>
    <w:p>
      <w:pPr>
        <w:spacing w:after="200"/>
        <w:ind w:left="720"/>
      </w:pPr>
      <w:r>
        <w:t xml:space="preserve">Testing &amp; Deployment (3 days)</w:t>
      </w:r>
    </w:p>
    <w:r>
      <w:br w:type="page"/>
    </w:r>
    <w:p>
      <w:pPr>
        <w:pStyle w:val="Heading1"/>
        <w:spacing w:before="100" w:after="150"/>
      </w:pPr>
      <w:r>
        <w:t xml:space="preserve">17. TECHNICAL SPECIFICATIONS SUMMARY</w:t>
      </w:r>
    </w:p>
    <w:tbl>
      <w:tblPr>
        <w:tblW w:type="pct" w:w="100%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36609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Feature</w:t>
            </w:r>
          </w:p>
        </w:tc>
        <w:tc>
          <w:tcPr>
            <w:shd w:color="36609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Priority</w:t>
            </w:r>
          </w:p>
        </w:tc>
        <w:tc>
          <w:tcPr>
            <w:shd w:color="36609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Effort (Days)</w:t>
            </w:r>
          </w:p>
        </w:tc>
        <w:tc>
          <w:tcPr>
            <w:shd w:color="36609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Dependencies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Authentication &amp; Authorization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CRITICAL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6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None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Service Integration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CRITICAL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4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Service classes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Model Relationships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CRITICAL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3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Existing models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Events &amp; Listeners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HIGH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5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Models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Notifications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HIGH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4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Optional: Events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File Uploads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MEDIUM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3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None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Scheduled Jobs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HIGH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2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Services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Risk Appetite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MEDIUM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3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Risk models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Maker-Checker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HIGH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5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Auth system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Monte Carlo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MEDIUM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5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Risk models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Regulatory Reports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HIGH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6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Loss Event model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AI Intelligence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LOW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3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Demo data only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User Management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MEDIUM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2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Auth system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Organization Settings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MEDIUM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2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Org model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Near-Miss Conversion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LOW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1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Loss Event model</w:t>
            </w:r>
          </w:p>
        </w:tc>
      </w:tr>
      <w:tr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Testing &amp; Deployment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CRITICAL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3</w:t>
            </w:r>
          </w:p>
        </w:tc>
        <w:tc>
          <w:tcPr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>All features</w:t>
            </w:r>
          </w:p>
        </w:tc>
      </w:tr>
    </w:tbl>
    <w:p>
      <w:pPr>
        <w:spacing w:after="200"/>
      </w:pPr>
    </w:p>
    <w:p>
      <w:pPr>
        <w:spacing w:after="80"/>
      </w:pPr>
      <w:r>
        <w:t xml:space="preserve">Total Estimated Effort: 57 developer days (~8 weeks at standard velocity)</w:t>
      </w:r>
    </w:p>
    <w:p>
      <w:pPr>
        <w:spacing w:after="200"/>
      </w:pPr>
      <w:r>
        <w:t xml:space="preserve">Critical Path: Authentication → Services → Events → Advanced Features</w:t>
      </w:r>
    </w:p>
    <w:r>
      <w:br w:type="page"/>
    </w:r>
    <w:p>
      <w:pPr>
        <w:pStyle w:val="Heading1"/>
        <w:spacing w:before="100" w:after="150"/>
      </w:pPr>
      <w:r>
        <w:t xml:space="preserve">CONCLUSION</w:t>
      </w:r>
    </w:p>
    <w:p>
      <w:pPr>
        <w:spacing w:after="100"/>
      </w:pPr>
      <w:r>
        <w:t xml:space="preserve">This Technical Requirements Document provides a comprehensive roadmap for achieving 100% production readiness of the GRC Risk Management Platform. The 16 implementation workstreams address all identified gaps from the 72% readiness audit.</w:t>
      </w:r>
    </w:p>
    <w:p>
      <w:pPr>
        <w:spacing w:after="100"/>
      </w:pPr>
      <w:r>
        <w:t xml:space="preserve">By following this implementation timeline, the platform will achieve: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t xml:space="preserve">Production-grade security and authentication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t xml:space="preserve">Full CBN regulatory compliance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t xml:space="preserve">Robust event-driven architecture</w:t>
      </w:r>
    </w:p>
    <w:p>
      <w:pPr>
        <w:pStyle w:val="ListParagraph"/>
        <w:numPr>
          <w:ilvl w:val="0"/>
          <w:numId w:val="1"/>
        </w:numPr>
        <w:spacing w:after="60"/>
        <w:ind w:left="720"/>
      </w:pPr>
      <w:r>
        <w:t xml:space="preserve">Advanced analytics and quantification</w:t>
      </w:r>
    </w:p>
    <w:p>
      <w:pPr>
        <w:pStyle w:val="ListParagraph"/>
        <w:numPr>
          <w:ilvl w:val="0"/>
          <w:numId w:val="1"/>
        </w:numPr>
        <w:spacing w:after="200"/>
        <w:ind w:left="720"/>
      </w:pPr>
      <w:r>
        <w:t xml:space="preserve">Nigerian market leadership in GRC</w:t>
      </w:r>
    </w:p>
    <w:p>
      <w:pPr>
        <w:spacing w:after="400"/>
      </w:pPr>
      <w:r>
        <w:t xml:space="preserve">The platform will transition from development-grade to production-ready status, establishing a solid foundation for long-term market success.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2026-02-24T00:23:27.565Z</dcterms:created>
  <dcterms:modified xsi:type="dcterms:W3CDTF">2026-02-24T00:23:27.566Z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