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Lebanese Legal AI — Progress Report</w:t>
      </w:r>
    </w:p>
    <w:p>
      <w:pPr>
        <w:jc w:val="center"/>
      </w:pPr>
      <w:r>
        <w:rPr>
          <w:color w:val="555555"/>
          <w:sz w:val="24"/>
        </w:rPr>
        <w:t>A Multi-Agent, Retrieval-Augmented System for Lebanese Penal Law</w:t>
      </w:r>
    </w:p>
    <w:p>
      <w:pPr>
        <w:jc w:val="center"/>
      </w:pPr>
      <w:r>
        <w:rPr>
          <w:i/>
        </w:rPr>
        <w:t>Prepared for the thesis-advisor meeting · June 28, 2026</w:t>
      </w:r>
    </w:p>
    <w:p/>
    <w:p>
      <w:pPr>
        <w:pStyle w:val="Heading1"/>
      </w:pPr>
      <w:r>
        <w:rPr>
          <w:color w:val="1E3A5F"/>
        </w:rPr>
        <w:t>1. Overview</w:t>
      </w:r>
    </w:p>
    <w:p>
      <w:pPr>
        <w:spacing w:after="120"/>
      </w:pPr>
      <w:r>
        <w:rPr>
          <w:i w:val="0"/>
          <w:sz w:val="22"/>
        </w:rPr>
        <w:t>This report summarises the work completed on the Lebanese Legal AI system. The system answers legal questions in Arabic, English, and French by retrieving the relevant articles of the Lebanese Penal Code and court rulings, then writing a structured legal memorandum through a pipeline of specialised AI agents.</w:t>
      </w:r>
    </w:p>
    <w:p>
      <w:pPr>
        <w:spacing w:after="120"/>
      </w:pPr>
      <w:r>
        <w:rPr>
          <w:i w:val="0"/>
          <w:sz w:val="22"/>
        </w:rPr>
        <w:t>The focus of this phase was two-fold: (1) making the system more accurate, trustworthy, and reliable, and (2) building a rigorous benchmark so that every design choice is backed by evidence rather than assumption. The benchmark is described in detail in Section 3, as it is the core scientific contribution.</w:t>
      </w:r>
    </w:p>
    <w:p>
      <w:pPr>
        <w:pStyle w:val="Heading1"/>
      </w:pPr>
      <w:r>
        <w:rPr>
          <w:color w:val="1E3A5F"/>
        </w:rPr>
        <w:t>2. What Was Added</w:t>
      </w:r>
    </w:p>
    <w:p>
      <w:pPr>
        <w:pStyle w:val="Heading2"/>
      </w:pPr>
      <w:r>
        <w:rPr>
          <w:color w:val="1E3A5F"/>
        </w:rPr>
        <w:t>2.1 Models</w:t>
      </w:r>
    </w:p>
    <w:p>
      <w:pPr>
        <w:pStyle w:val="ListBullet"/>
      </w:pPr>
      <w:r>
        <w:rPr>
          <w:b/>
        </w:rPr>
        <w:t xml:space="preserve">Up-to-date models. </w:t>
      </w:r>
      <w:r>
        <w:t xml:space="preserve"> Standardised the whole system on Claude Sonnet 4.5, and added a model selector so each run can use Sonnet 4.5, Sonnet 4.6, Opus 4.6, or Haiku 4.5 (useful for comparing models in the thesis).</w:t>
      </w:r>
    </w:p>
    <w:p>
      <w:pPr>
        <w:pStyle w:val="Heading2"/>
      </w:pPr>
      <w:r>
        <w:rPr>
          <w:color w:val="1E3A5F"/>
        </w:rPr>
        <w:t>2.2 Data and Corpus</w:t>
      </w:r>
    </w:p>
    <w:p>
      <w:pPr>
        <w:pStyle w:val="ListBullet"/>
      </w:pPr>
      <w:r>
        <w:rPr>
          <w:b/>
        </w:rPr>
        <w:t xml:space="preserve">Bigger, bilingual corpus. </w:t>
      </w:r>
      <w:r>
        <w:t xml:space="preserve"> Added the English Penal Code (242 articles) alongside the Arabic one, making the searchable corpus bilingual (713 documents: 417 Arabic + 242 English articles + 54 court rulings).</w:t>
      </w:r>
    </w:p>
    <w:p>
      <w:pPr>
        <w:pStyle w:val="ListBullet"/>
      </w:pPr>
      <w:r>
        <w:rPr>
          <w:b/>
        </w:rPr>
        <w:t xml:space="preserve">Reproducible ingestion. </w:t>
      </w:r>
      <w:r>
        <w:t xml:space="preserve"> Built a reproducible pipeline that reads the source documents, indexes them, and records exactly what was indexed — so the corpus can be rebuilt with one command and new sources (e.g., contract law, French texts) can be added automatically.</w:t>
      </w:r>
    </w:p>
    <w:p>
      <w:pPr>
        <w:pStyle w:val="Heading2"/>
      </w:pPr>
      <w:r>
        <w:rPr>
          <w:color w:val="1E3A5F"/>
        </w:rPr>
        <w:t>2.3 Accuracy and Trust</w:t>
      </w:r>
    </w:p>
    <w:p>
      <w:pPr>
        <w:pStyle w:val="ListBullet"/>
      </w:pPr>
      <w:r>
        <w:rPr>
          <w:b/>
        </w:rPr>
        <w:t xml:space="preserve">Grounding / anti-hallucination. </w:t>
      </w:r>
      <w:r>
        <w:t xml:space="preserve"> Each legal point the system makes is now checked against the source documents; anything not found in the corpus is flagged, and a 'hallucination rate' is reported for every answer.</w:t>
      </w:r>
    </w:p>
    <w:p>
      <w:pPr>
        <w:pStyle w:val="ListBullet"/>
      </w:pPr>
      <w:r>
        <w:rPr>
          <w:b/>
        </w:rPr>
        <w:t xml:space="preserve">Citation verification. </w:t>
      </w:r>
      <w:r>
        <w:t xml:space="preserve"> Every citation (e.g., 'Article 549') is verified against a master list of real article numbers, so the answer shows which citations are confirmed.</w:t>
      </w:r>
    </w:p>
    <w:p>
      <w:pPr>
        <w:pStyle w:val="ListBullet"/>
      </w:pPr>
      <w:r>
        <w:rPr>
          <w:b/>
        </w:rPr>
        <w:t xml:space="preserve">Correctness fixes. </w:t>
      </w:r>
      <w:r>
        <w:t xml:space="preserve"> Fixed several internal bugs where agents were silently working on empty input, which previously weakened the legal reasoning.</w:t>
      </w:r>
    </w:p>
    <w:p>
      <w:pPr>
        <w:pStyle w:val="Heading2"/>
      </w:pPr>
      <w:r>
        <w:rPr>
          <w:color w:val="1E3A5F"/>
        </w:rPr>
        <w:t>2.4 User Experience</w:t>
      </w:r>
    </w:p>
    <w:p>
      <w:pPr>
        <w:pStyle w:val="ListBullet"/>
      </w:pPr>
      <w:r>
        <w:rPr>
          <w:b/>
        </w:rPr>
        <w:t xml:space="preserve">Language-matched, RTL output. </w:t>
      </w:r>
      <w:r>
        <w:t xml:space="preserve"> The memorandum is now written entirely in the language of the question (Arabic in, Arabic out), and Arabic documents display right-to-left in a clean, professional layout.</w:t>
      </w:r>
    </w:p>
    <w:p>
      <w:pPr>
        <w:pStyle w:val="ListBullet"/>
      </w:pPr>
      <w:r>
        <w:rPr>
          <w:b/>
        </w:rPr>
        <w:t xml:space="preserve">Transparency. </w:t>
      </w:r>
      <w:r>
        <w:t xml:space="preserve"> Each answer shows its sources, a cost/time breakdown, and trust indicators.</w:t>
      </w:r>
    </w:p>
    <w:p>
      <w:pPr>
        <w:pStyle w:val="Heading2"/>
      </w:pPr>
      <w:r>
        <w:rPr>
          <w:color w:val="1E3A5F"/>
        </w:rPr>
        <w:t>2.5 Engineering</w:t>
      </w:r>
    </w:p>
    <w:p>
      <w:pPr>
        <w:pStyle w:val="ListBullet"/>
      </w:pPr>
      <w:r>
        <w:rPr>
          <w:b/>
        </w:rPr>
        <w:t xml:space="preserve">Tests, CI, and monitoring. </w:t>
      </w:r>
      <w:r>
        <w:t xml:space="preserve"> Added an automated test suite and continuous integration so changes are checked automatically, plus per-answer cost, speed, and token tracking.</w:t>
      </w:r>
    </w:p>
    <w:p>
      <w:pPr>
        <w:pStyle w:val="Heading1"/>
      </w:pPr>
      <w:r>
        <w:rPr>
          <w:color w:val="1E3A5F"/>
        </w:rPr>
        <w:t>3. Benchmarking — The Core of This Phase</w:t>
      </w:r>
    </w:p>
    <w:p>
      <w:pPr>
        <w:pStyle w:val="Heading2"/>
      </w:pPr>
      <w:r>
        <w:rPr>
          <w:color w:val="1E3A5F"/>
        </w:rPr>
        <w:t>3.1 Why a benchmark was needed</w:t>
      </w:r>
    </w:p>
    <w:p>
      <w:pPr>
        <w:spacing w:after="120"/>
      </w:pPr>
      <w:r>
        <w:rPr>
          <w:i w:val="0"/>
          <w:sz w:val="22"/>
        </w:rPr>
        <w:t>A legal AI system is only credible if its accuracy can be measured. Without a benchmark, we can only say the answers 'look good'. With one, we can prove how often the system finds the correct law, how accurate its citations are, and whether the multi-agent design actually outperforms a simple single-AI baseline. The benchmark turns subjective impressions into objective, repeatable numbers — and lets us test every design decision with evidence.</w:t>
      </w:r>
    </w:p>
    <w:p>
      <w:pPr>
        <w:pStyle w:val="Heading2"/>
      </w:pPr>
      <w:r>
        <w:rPr>
          <w:color w:val="1E3A5F"/>
        </w:rPr>
        <w:t>3.2 How the benchmark dataset was built</w:t>
      </w:r>
    </w:p>
    <w:p>
      <w:pPr>
        <w:spacing w:after="120"/>
      </w:pPr>
      <w:r>
        <w:rPr>
          <w:i w:val="0"/>
          <w:sz w:val="22"/>
        </w:rPr>
        <w:t>I generated a dataset of 196 legal questions, and crucially, every question is 'grounded' in the real corpus:</w:t>
      </w:r>
    </w:p>
    <w:p>
      <w:pPr>
        <w:pStyle w:val="ListBullet"/>
      </w:pPr>
      <w:r>
        <w:rPr>
          <w:b/>
        </w:rPr>
        <w:t xml:space="preserve">Grounded in real law. </w:t>
      </w:r>
      <w:r>
        <w:t xml:space="preserve"> Questions are generated directly from the actual Penal Code articles and court rulings — not invented — so they reflect real legal content.</w:t>
      </w:r>
    </w:p>
    <w:p>
      <w:pPr>
        <w:pStyle w:val="ListBullet"/>
      </w:pPr>
      <w:r>
        <w:rPr>
          <w:b/>
        </w:rPr>
        <w:t xml:space="preserve">Verified gold answers. </w:t>
      </w:r>
      <w:r>
        <w:t xml:space="preserve"> Each question is stored with the correct article number(s) it should rely on (the 'gold answer'), and every gold label was automatically validated against the corpus.</w:t>
      </w:r>
    </w:p>
    <w:p>
      <w:pPr>
        <w:pStyle w:val="ListBullet"/>
      </w:pPr>
      <w:r>
        <w:rPr>
          <w:b/>
        </w:rPr>
        <w:t xml:space="preserve">Three languages. </w:t>
      </w:r>
      <w:r>
        <w:t xml:space="preserve"> The set is trilingual (≈69 Arabic, 65 English, 62 French) to test the system's multilingual ability.</w:t>
      </w:r>
    </w:p>
    <w:p>
      <w:pPr>
        <w:pStyle w:val="ListBullet"/>
      </w:pPr>
      <w:r>
        <w:rPr>
          <w:b/>
        </w:rPr>
        <w:t xml:space="preserve">Two realistic question types. </w:t>
      </w:r>
      <w:r>
        <w:t xml:space="preserve"> It mixes two question types: general legal questions ('what does the law say?') and case scenarios ('here are the facts — assess them').</w:t>
      </w:r>
    </w:p>
    <w:p>
      <w:pPr>
        <w:pStyle w:val="ListBullet"/>
      </w:pPr>
      <w:r>
        <w:rPr>
          <w:b/>
        </w:rPr>
        <w:t xml:space="preserve">Broad coverage. </w:t>
      </w:r>
      <w:r>
        <w:t xml:space="preserve"> It covers 204 different articles, so the test is broad, not narrow.</w:t>
      </w:r>
    </w:p>
    <w:p>
      <w:pPr>
        <w:pStyle w:val="Heading2"/>
      </w:pPr>
      <w:r>
        <w:rPr>
          <w:color w:val="1E3A5F"/>
        </w:rPr>
        <w:t>3.3 What the benchmark measures</w:t>
      </w:r>
    </w:p>
    <w:p>
      <w:pPr>
        <w:spacing w:after="120"/>
      </w:pPr>
      <w:r>
        <w:rPr>
          <w:i w:val="0"/>
          <w:sz w:val="22"/>
        </w:rPr>
        <w:t>The system is evaluated on two layers — first whether it finds the right law, then whether it answers well: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Metrics</w:t>
            </w:r>
          </w:p>
        </w:tc>
        <w:tc>
          <w:tcPr>
            <w:tcW w:type="dxa" w:w="2880"/>
          </w:tcPr>
          <w:p>
            <w:r>
              <w:rPr>
                <w:b/>
              </w:rPr>
              <w:t>What it tells us</w:t>
            </w:r>
          </w:p>
        </w:tc>
      </w:tr>
      <w:tr>
        <w:tc>
          <w:tcPr>
            <w:tcW w:type="dxa" w:w="2880"/>
          </w:tcPr>
          <w:p>
            <w:r>
              <w:rPr>
                <w:b/>
              </w:rPr>
              <w:t>Retrieval</w:t>
              <w:br/>
              <w:t>(finding the law)</w:t>
            </w:r>
          </w:p>
        </w:tc>
        <w:tc>
          <w:tcPr>
            <w:tcW w:type="dxa" w:w="2880"/>
          </w:tcPr>
          <w:p>
            <w:r>
              <w:t>Precision@k, Recall@k, MRR, nDCG@k</w:t>
            </w:r>
          </w:p>
        </w:tc>
        <w:tc>
          <w:tcPr>
            <w:tcW w:type="dxa" w:w="2880"/>
          </w:tcPr>
          <w:p>
            <w:r>
              <w:t>How often, and how highly ranked, the correct articles appear in the results.</w:t>
            </w:r>
          </w:p>
        </w:tc>
      </w:tr>
      <w:tr>
        <w:tc>
          <w:tcPr>
            <w:tcW w:type="dxa" w:w="2880"/>
          </w:tcPr>
          <w:p>
            <w:r>
              <w:rPr>
                <w:b/>
              </w:rPr>
              <w:t>Citations</w:t>
              <w:br/>
              <w:t>(accuracy)</w:t>
            </w:r>
          </w:p>
        </w:tc>
        <w:tc>
          <w:tcPr>
            <w:tcW w:type="dxa" w:w="2880"/>
          </w:tcPr>
          <w:p>
            <w:r>
              <w:t>Precision, Recall, F1 vs. gold articles</w:t>
            </w:r>
          </w:p>
        </w:tc>
        <w:tc>
          <w:tcPr>
            <w:tcW w:type="dxa" w:w="2880"/>
          </w:tcPr>
          <w:p>
            <w:r>
              <w:t>Whether the answer cites the correct articles — measured automatically.</w:t>
            </w:r>
          </w:p>
        </w:tc>
      </w:tr>
      <w:tr>
        <w:tc>
          <w:tcPr>
            <w:tcW w:type="dxa" w:w="2880"/>
          </w:tcPr>
          <w:p>
            <w:r>
              <w:rPr>
                <w:b/>
              </w:rPr>
              <w:t>Answer quality</w:t>
            </w:r>
          </w:p>
        </w:tc>
        <w:tc>
          <w:tcPr>
            <w:tcW w:type="dxa" w:w="2880"/>
          </w:tcPr>
          <w:p>
            <w:r>
              <w:t>LLM-as-judge score 1–5 (legal correctness, citation quality, completeness, clarity)</w:t>
            </w:r>
          </w:p>
        </w:tc>
        <w:tc>
          <w:tcPr>
            <w:tcW w:type="dxa" w:w="2880"/>
          </w:tcPr>
          <w:p>
            <w:r>
              <w:t>Whether the final memorandum is legally sound and well written.</w:t>
            </w:r>
          </w:p>
        </w:tc>
      </w:tr>
      <w:tr>
        <w:tc>
          <w:tcPr>
            <w:tcW w:type="dxa" w:w="2880"/>
          </w:tcPr>
          <w:p>
            <w:r>
              <w:rPr>
                <w:b/>
              </w:rPr>
              <w:t>Efficiency</w:t>
            </w:r>
          </w:p>
        </w:tc>
        <w:tc>
          <w:tcPr>
            <w:tcW w:type="dxa" w:w="2880"/>
          </w:tcPr>
          <w:p>
            <w:r>
              <w:t>Latency, tokens, cost per query</w:t>
            </w:r>
          </w:p>
        </w:tc>
        <w:tc>
          <w:tcPr>
            <w:tcW w:type="dxa" w:w="2880"/>
          </w:tcPr>
          <w:p>
            <w:r>
              <w:t>Whether the system is practical to run.</w:t>
            </w:r>
          </w:p>
        </w:tc>
      </w:tr>
      <w:tr>
        <w:tc>
          <w:tcPr>
            <w:tcW w:type="dxa" w:w="2880"/>
          </w:tcPr>
          <w:p>
            <w:r>
              <w:rPr>
                <w:b/>
              </w:rPr>
              <w:t>Statistical rigour</w:t>
            </w:r>
          </w:p>
        </w:tc>
        <w:tc>
          <w:tcPr>
            <w:tcW w:type="dxa" w:w="2880"/>
          </w:tcPr>
          <w:p>
            <w:r>
              <w:t>Mean ± 95% confidence interval; paired significance tests</w:t>
            </w:r>
          </w:p>
        </w:tc>
        <w:tc>
          <w:tcPr>
            <w:tcW w:type="dxa" w:w="2880"/>
          </w:tcPr>
          <w:p>
            <w:r>
              <w:t>Whether differences between methods are real, not chance.</w:t>
            </w:r>
          </w:p>
        </w:tc>
      </w:tr>
    </w:tbl>
    <w:p/>
    <w:p>
      <w:pPr>
        <w:pStyle w:val="Heading2"/>
      </w:pPr>
      <w:r>
        <w:rPr>
          <w:color w:val="1E3A5F"/>
        </w:rPr>
        <w:t>3.4 Why I designed it this way</w:t>
      </w:r>
    </w:p>
    <w:p>
      <w:pPr>
        <w:pStyle w:val="ListBullet"/>
      </w:pPr>
      <w:r>
        <w:rPr>
          <w:b/>
        </w:rPr>
        <w:t xml:space="preserve">Article-level gold answers. </w:t>
      </w:r>
      <w:r>
        <w:t xml:space="preserve"> Because legal answers must point to specific articles, the gold answer is the set of correct article numbers. This makes scoring objective and automatic — no human needed for the core retrieval and citation metrics.</w:t>
      </w:r>
    </w:p>
    <w:p>
      <w:pPr>
        <w:pStyle w:val="ListBullet"/>
      </w:pPr>
      <w:r>
        <w:rPr>
          <w:b/>
        </w:rPr>
        <w:t xml:space="preserve">Grounded generation. </w:t>
      </w:r>
      <w:r>
        <w:t xml:space="preserve"> Grounding the questions in the real corpus guarantees every question has a known, checkable correct answer — avoiding made-up questions with no verifiable answer.</w:t>
      </w:r>
    </w:p>
    <w:p>
      <w:pPr>
        <w:pStyle w:val="ListBullet"/>
      </w:pPr>
      <w:r>
        <w:rPr>
          <w:b/>
        </w:rPr>
        <w:t xml:space="preserve">Realistic coverage. </w:t>
      </w:r>
      <w:r>
        <w:t xml:space="preserve"> Three languages and two question types reflect how the system will actually be used, so the score represents real-world performance.</w:t>
      </w:r>
    </w:p>
    <w:p>
      <w:pPr>
        <w:pStyle w:val="ListBullet"/>
      </w:pPr>
      <w:r>
        <w:rPr>
          <w:b/>
        </w:rPr>
        <w:t xml:space="preserve">Baseline comparison. </w:t>
      </w:r>
      <w:r>
        <w:t xml:space="preserve"> Comparing against single-AI baselines (with and without retrieval) directly tests the thesis claim that a multi-agent design is better.</w:t>
      </w:r>
    </w:p>
    <w:p>
      <w:pPr>
        <w:pStyle w:val="ListBullet"/>
      </w:pPr>
      <w:r>
        <w:rPr>
          <w:b/>
        </w:rPr>
        <w:t xml:space="preserve">Statistical honesty. </w:t>
      </w:r>
      <w:r>
        <w:t xml:space="preserve"> Reporting confidence intervals and significance tests ensures conclusions are scientifically defensible, not based on a single lucky run.</w:t>
      </w:r>
    </w:p>
    <w:p>
      <w:pPr>
        <w:pStyle w:val="Heading2"/>
      </w:pPr>
      <w:r>
        <w:rPr>
          <w:color w:val="1E3A5F"/>
        </w:rPr>
        <w:t>3.5 What the benchmark already revealed</w:t>
      </w:r>
    </w:p>
    <w:p>
      <w:pPr>
        <w:spacing w:after="120"/>
      </w:pPr>
      <w:r>
        <w:rPr>
          <w:i w:val="0"/>
          <w:sz w:val="22"/>
        </w:rPr>
        <w:t>Running the benchmark immediately produced evidence-based decisions:</w:t>
      </w:r>
    </w:p>
    <w:p>
      <w:pPr>
        <w:pStyle w:val="ListBullet"/>
      </w:pPr>
      <w:r>
        <w:rPr>
          <w:b/>
        </w:rPr>
        <w:t xml:space="preserve">Hybrid retrieval wins. </w:t>
      </w:r>
      <w:r>
        <w:t xml:space="preserve"> Hybrid search (keyword + meaning) retrieves the correct law more often than meaning-only search — so it is now the default.</w:t>
      </w:r>
    </w:p>
    <w:p>
      <w:pPr>
        <w:pStyle w:val="ListBullet"/>
      </w:pPr>
      <w:r>
        <w:rPr>
          <w:b/>
        </w:rPr>
        <w:t xml:space="preserve">A common technique was rejected. </w:t>
      </w:r>
      <w:r>
        <w:t xml:space="preserve"> A popular English 're-ranking' model actually made results worse on this Arabic/legal corpus, so it was disabled. The benchmark caught this; intuition would have kept it.</w:t>
      </w:r>
    </w:p>
    <w:p>
      <w:pPr>
        <w:pStyle w:val="ListBullet"/>
      </w:pPr>
      <w:r>
        <w:rPr>
          <w:b/>
        </w:rPr>
        <w:t xml:space="preserve">Embedding choice validated. </w:t>
      </w:r>
      <w:r>
        <w:t xml:space="preserve"> The local embedding model already in use outperformed two larger alternatives — validating the existing choice with data.</w:t>
      </w:r>
    </w:p>
    <w:p>
      <w:pPr>
        <w:pStyle w:val="Heading1"/>
      </w:pPr>
      <w:r>
        <w:rPr>
          <w:color w:val="1E3A5F"/>
        </w:rPr>
        <w:t>4. Current Results (Snapshot)</w:t>
      </w:r>
    </w:p>
    <w:p>
      <w:pPr>
        <w:spacing w:after="120"/>
      </w:pPr>
      <w:r>
        <w:rPr>
          <w:i/>
          <w:sz w:val="22"/>
        </w:rPr>
        <w:t>Numbers below are from the 196-question benchmark. Retrieval is fully measured; answer-quality is an early sample and will be finalised in a full 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Result</w:t>
            </w:r>
          </w:p>
        </w:tc>
        <w:tc>
          <w:tcPr>
            <w:tcW w:type="dxa" w:w="2880"/>
          </w:tcPr>
          <w:p>
            <w:r>
              <w:rPr>
                <w:b/>
              </w:rPr>
              <w:t>Reading</w:t>
            </w:r>
          </w:p>
        </w:tc>
      </w:tr>
      <w:tr>
        <w:tc>
          <w:tcPr>
            <w:tcW w:type="dxa" w:w="2880"/>
          </w:tcPr>
          <w:p>
            <w:r>
              <w:rPr>
                <w:b/>
              </w:rPr>
              <w:t>Finds correct law (Recall@5)</w:t>
            </w:r>
          </w:p>
        </w:tc>
        <w:tc>
          <w:tcPr>
            <w:tcW w:type="dxa" w:w="2880"/>
          </w:tcPr>
          <w:p>
            <w:r>
              <w:t>~50%</w:t>
            </w:r>
          </w:p>
        </w:tc>
        <w:tc>
          <w:tcPr>
            <w:tcW w:type="dxa" w:w="2880"/>
          </w:tcPr>
          <w:p>
            <w:r>
              <w:t>The correct article is in the top 5 about half the time — solid, with clear room to improve.</w:t>
            </w:r>
          </w:p>
        </w:tc>
      </w:tr>
      <w:tr>
        <w:tc>
          <w:tcPr>
            <w:tcW w:type="dxa" w:w="2880"/>
          </w:tcPr>
          <w:p>
            <w:r>
              <w:rPr>
                <w:b/>
              </w:rPr>
              <w:t>Answer quality (judge, 1–5)</w:t>
            </w:r>
          </w:p>
        </w:tc>
        <w:tc>
          <w:tcPr>
            <w:tcW w:type="dxa" w:w="2880"/>
          </w:tcPr>
          <w:p>
            <w:r>
              <w:t>≈4.6 / 5 (early sample)</w:t>
            </w:r>
          </w:p>
        </w:tc>
        <w:tc>
          <w:tcPr>
            <w:tcW w:type="dxa" w:w="2880"/>
          </w:tcPr>
          <w:p>
            <w:r>
              <w:t>The written memoranda are rated as high quality.</w:t>
            </w:r>
          </w:p>
        </w:tc>
      </w:tr>
      <w:tr>
        <w:tc>
          <w:tcPr>
            <w:tcW w:type="dxa" w:w="2880"/>
          </w:tcPr>
          <w:p>
            <w:r>
              <w:rPr>
                <w:b/>
              </w:rPr>
              <w:t>Citation precision</w:t>
            </w:r>
          </w:p>
        </w:tc>
        <w:tc>
          <w:tcPr>
            <w:tcW w:type="dxa" w:w="2880"/>
          </w:tcPr>
          <w:p>
            <w:r>
              <w:t>Low (being improved)</w:t>
            </w:r>
          </w:p>
        </w:tc>
        <w:tc>
          <w:tcPr>
            <w:tcW w:type="dxa" w:w="2880"/>
          </w:tcPr>
          <w:p>
            <w:r>
              <w:t>It cites the right legal area but not always the exact article — the next target.</w:t>
            </w:r>
          </w:p>
        </w:tc>
      </w:tr>
      <w:tr>
        <w:tc>
          <w:tcPr>
            <w:tcW w:type="dxa" w:w="2880"/>
          </w:tcPr>
          <w:p>
            <w:r>
              <w:rPr>
                <w:b/>
              </w:rPr>
              <w:t>Speed / cost</w:t>
            </w:r>
          </w:p>
        </w:tc>
        <w:tc>
          <w:tcPr>
            <w:tcW w:type="dxa" w:w="2880"/>
          </w:tcPr>
          <w:p>
            <w:r>
              <w:t>~3 min, ~$0.12 per full answer</w:t>
            </w:r>
          </w:p>
        </w:tc>
        <w:tc>
          <w:tcPr>
            <w:tcW w:type="dxa" w:w="2880"/>
          </w:tcPr>
          <w:p>
            <w:r>
              <w:t>Practical for research use.</w:t>
            </w:r>
          </w:p>
        </w:tc>
      </w:tr>
    </w:tbl>
    <w:p/>
    <w:p>
      <w:pPr>
        <w:spacing w:after="120"/>
      </w:pPr>
      <w:r>
        <w:rPr>
          <w:i w:val="0"/>
          <w:sz w:val="22"/>
        </w:rPr>
        <w:t>Interpretation: the system writes strong legal memoranda, and its main limitation is pinpoint citation accuracy, which is bounded by how often the correct article is retrieved. This directly sets the priorities below.</w:t>
      </w:r>
    </w:p>
    <w:p>
      <w:pPr>
        <w:pStyle w:val="Heading1"/>
      </w:pPr>
      <w:r>
        <w:rPr>
          <w:color w:val="1E3A5F"/>
        </w:rPr>
        <w:t>5. Next Steps</w:t>
      </w:r>
    </w:p>
    <w:p>
      <w:pPr>
        <w:pStyle w:val="ListBullet"/>
      </w:pPr>
      <w:r>
        <w:rPr>
          <w:b/>
        </w:rPr>
        <w:t xml:space="preserve">1. Raise retrieval recall. </w:t>
      </w:r>
      <w:r>
        <w:t xml:space="preserve"> Improve retrieval so the correct article is found more often (tune the search; test better multilingual models).</w:t>
      </w:r>
    </w:p>
    <w:p>
      <w:pPr>
        <w:pStyle w:val="ListBullet"/>
      </w:pPr>
      <w:r>
        <w:rPr>
          <w:b/>
        </w:rPr>
        <w:t xml:space="preserve">2. Improve citation precision. </w:t>
      </w:r>
      <w:r>
        <w:t xml:space="preserve"> Make the system cite only the directly-applicable articles, not neighbouring ones.</w:t>
      </w:r>
    </w:p>
    <w:p>
      <w:pPr>
        <w:pStyle w:val="ListBullet"/>
      </w:pPr>
      <w:r>
        <w:rPr>
          <w:b/>
        </w:rPr>
        <w:t xml:space="preserve">3. Full evaluation run. </w:t>
      </w:r>
      <w:r>
        <w:t xml:space="preserve"> Run the full benchmark to produce final, statistically-backed comparison numbers (multi-agent vs. baselines).</w:t>
      </w:r>
    </w:p>
    <w:p>
      <w:pPr>
        <w:pStyle w:val="ListBullet"/>
      </w:pPr>
      <w:r>
        <w:rPr>
          <w:b/>
        </w:rPr>
        <w:t xml:space="preserve">4. Broaden the corpus. </w:t>
      </w:r>
      <w:r>
        <w:t xml:space="preserve"> Expand the corpus to contract law and French legal texts (the pipeline already supports adding them).</w:t>
      </w:r>
    </w:p>
    <w:p/>
    <w:p>
      <w:pPr>
        <w:jc w:val="center"/>
      </w:pPr>
      <w:r>
        <w:rPr>
          <w:i/>
        </w:rPr>
        <w:t>All work is version-controlled, tested, and reproducible.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