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Хиджази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1323766"/>
            <wp:effectExtent b="0" l="0" r="0" t="0"/>
            <wp:docPr descr="Рис. 1: Подготовил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Подготовил каталог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8" w:name="fig:002"/>
      <w:r>
        <w:drawing>
          <wp:inline>
            <wp:extent cx="5334000" cy="3650483"/>
            <wp:effectExtent b="0" l="0" r="0" t="0"/>
            <wp:docPr descr="Рис. 2: Программа в файле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lab6-1.asm</w:t>
      </w:r>
    </w:p>
    <w:p>
      <w:pPr>
        <w:pStyle w:val="BodyText"/>
      </w:pPr>
      <w:r>
        <w:t xml:space="preserve">В данной программе (рис. 2)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использования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p>
      <w:pPr>
        <w:pStyle w:val="CaptionedFigure"/>
      </w:pPr>
      <w:bookmarkStart w:id="32" w:name="fig:003"/>
      <w:r>
        <w:drawing>
          <wp:inline>
            <wp:extent cx="5334000" cy="906295"/>
            <wp:effectExtent b="0" l="0" r="0" t="0"/>
            <wp:docPr descr="Рис. 3: Запуск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lab6-1.asm</w:t>
      </w:r>
    </w:p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3)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4)</w:t>
      </w:r>
    </w:p>
    <w:p>
      <w:pPr>
        <w:pStyle w:val="CaptionedFigure"/>
      </w:pPr>
      <w:bookmarkStart w:id="36" w:name="fig:004"/>
      <w:r>
        <w:drawing>
          <wp:inline>
            <wp:extent cx="5120640" cy="3744227"/>
            <wp:effectExtent b="0" l="0" r="0" t="0"/>
            <wp:docPr descr="Рис. 4: Программа в файле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lab6-1.asm</w:t>
      </w:r>
    </w:p>
    <w:p>
      <w:pPr>
        <w:pStyle w:val="CaptionedFigure"/>
      </w:pPr>
      <w:bookmarkStart w:id="40" w:name="fig:005"/>
      <w:r>
        <w:drawing>
          <wp:inline>
            <wp:extent cx="5334000" cy="891184"/>
            <wp:effectExtent b="0" l="0" r="0" t="0"/>
            <wp:docPr descr="Рис. 5: Запуск программы lab6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lab6-1.asm</w:t>
      </w:r>
    </w:p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t xml:space="preserve"> </w:t>
      </w:r>
      <w:r>
        <w:t xml:space="preserve">Вместо этого выводится символ с кодом 10, который представляет собой символ конца строки</w:t>
      </w:r>
      <w:r>
        <w:t xml:space="preserve"> </w:t>
      </w:r>
      <w:r>
        <w:t xml:space="preserve">(возврат каретки). (рис. 5)</w:t>
      </w:r>
      <w:r>
        <w:t xml:space="preserve"> </w:t>
      </w:r>
      <w:r>
        <w:t xml:space="preserve">Этот символ не отображается в консоли, но он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6)</w:t>
      </w:r>
    </w:p>
    <w:p>
      <w:pPr>
        <w:pStyle w:val="CaptionedFigure"/>
      </w:pPr>
      <w:bookmarkStart w:id="44" w:name="fig:006"/>
      <w:r>
        <w:drawing>
          <wp:inline>
            <wp:extent cx="5130265" cy="3378467"/>
            <wp:effectExtent b="0" l="0" r="0" t="0"/>
            <wp:docPr descr="Рис. 6: Программа в файле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lab6-2.asm</w:t>
      </w:r>
    </w:p>
    <w:p>
      <w:pPr>
        <w:pStyle w:val="CaptionedFigure"/>
      </w:pPr>
      <w:bookmarkStart w:id="48" w:name="fig:007"/>
      <w:r>
        <w:drawing>
          <wp:inline>
            <wp:extent cx="5334000" cy="831272"/>
            <wp:effectExtent b="0" l="0" r="0" t="0"/>
            <wp:docPr descr="Рис. 7: 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lab6-2.asm</w:t>
      </w:r>
    </w:p>
    <w:p>
      <w:pPr>
        <w:pStyle w:val="BodyText"/>
      </w:pPr>
      <w:r>
        <w:t xml:space="preserve">В результате выполнения программы мы получим число 106. (рис. 7)</w:t>
      </w:r>
      <w:r>
        <w:t xml:space="preserve"> </w:t>
      </w:r>
      <w:r>
        <w:t xml:space="preserve">В данном случае,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предыдущей программы,</w:t>
      </w:r>
      <w:r>
        <w:t xml:space="preserve"> </w:t>
      </w:r>
      <w:r>
        <w:t xml:space="preserve">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числа.(рис. 8)</w:t>
      </w:r>
    </w:p>
    <w:p>
      <w:pPr>
        <w:pStyle w:val="CaptionedFigure"/>
      </w:pPr>
      <w:bookmarkStart w:id="52" w:name="fig:008"/>
      <w:r>
        <w:drawing>
          <wp:inline>
            <wp:extent cx="4697128" cy="4292867"/>
            <wp:effectExtent b="0" l="0" r="0" t="0"/>
            <wp:docPr descr="Рис. 8: Программа в файле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429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10.(рис. 9)</w:t>
      </w:r>
    </w:p>
    <w:p>
      <w:pPr>
        <w:pStyle w:val="CaptionedFigure"/>
      </w:pPr>
      <w:bookmarkStart w:id="56" w:name="fig:009"/>
      <w:r>
        <w:drawing>
          <wp:inline>
            <wp:extent cx="5334000" cy="748747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строки.(рис. 10)</w:t>
      </w:r>
    </w:p>
    <w:p>
      <w:pPr>
        <w:pStyle w:val="CaptionedFigure"/>
      </w:pPr>
      <w:bookmarkStart w:id="60" w:name="fig:010"/>
      <w:r>
        <w:drawing>
          <wp:inline>
            <wp:extent cx="5334000" cy="846772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 (рис. 11) (рис. 12)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5334000" cy="5030372"/>
            <wp:effectExtent b="0" l="0" r="0" t="0"/>
            <wp:docPr descr="Рис. 11: Программа в файле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0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lab6-3.asm</w:t>
      </w:r>
    </w:p>
    <w:p>
      <w:pPr>
        <w:pStyle w:val="CaptionedFigure"/>
      </w:pPr>
      <w:bookmarkStart w:id="68" w:name="fig:012"/>
      <w:r>
        <w:drawing>
          <wp:inline>
            <wp:extent cx="5334000" cy="1025769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13) (рис. 14)</w:t>
      </w:r>
    </w:p>
    <w:p>
      <w:pPr>
        <w:pStyle w:val="CaptionedFigure"/>
      </w:pPr>
      <w:bookmarkStart w:id="71" w:name="fig:013"/>
      <w:r>
        <w:drawing>
          <wp:inline>
            <wp:extent cx="5334000" cy="1025769"/>
            <wp:effectExtent b="0" l="0" r="0" t="0"/>
            <wp:docPr descr="Рис. 13: Программа в файле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 Программа в файле lab6-3.asm</w:t>
      </w:r>
    </w:p>
    <w:p>
      <w:pPr>
        <w:pStyle w:val="CaptionedFigure"/>
      </w:pPr>
      <w:bookmarkStart w:id="75" w:name="fig:014"/>
      <w:r>
        <w:drawing>
          <wp:inline>
            <wp:extent cx="5334000" cy="5536556"/>
            <wp:effectExtent b="0" l="0" r="0" t="0"/>
            <wp:docPr descr="Рис. 14: Запуск программы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6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14: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15) (рис. 16)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9" w:name="fig:015"/>
      <w:r>
        <w:drawing>
          <wp:inline>
            <wp:extent cx="5334000" cy="5448183"/>
            <wp:effectExtent b="0" l="0" r="0" t="0"/>
            <wp:docPr descr="Рис. 15: Программа в файле variant.asm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15: Программа в файле variant.asm</w:t>
      </w:r>
    </w:p>
    <w:p>
      <w:pPr>
        <w:pStyle w:val="CaptionedFigure"/>
      </w:pPr>
      <w:bookmarkStart w:id="83" w:name="fig:016"/>
      <w:r>
        <w:drawing>
          <wp:inline>
            <wp:extent cx="5334000" cy="977221"/>
            <wp:effectExtent b="0" l="0" r="0" t="0"/>
            <wp:docPr descr="Рис. 16: Запуск программы variant.asm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16: Запуск программы variant.asm</w:t>
      </w:r>
    </w:p>
    <w:bookmarkStart w:id="84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используются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</w:t>
      </w:r>
    </w:p>
    <w:bookmarkEnd w:id="84"/>
    <w:bookmarkStart w:id="93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11 -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x</m:t>
              </m:r>
            </m:e>
          </m:d>
          <m:r>
            <m:rPr>
              <m:sty m:val="p"/>
            </m:rPr>
            <m:t>−</m:t>
          </m:r>
          <m:r>
            <m:t>10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7</m:t>
          </m:r>
        </m:oMath>
      </m:oMathPara>
    </w:p>
    <w:p>
      <w:pPr>
        <w:pStyle w:val="FirstParagraph"/>
      </w:pPr>
      <w:r>
        <w:t xml:space="preserve">(рис. 17) (рис. 18)</w:t>
      </w:r>
    </w:p>
    <w:p>
      <w:pPr>
        <w:pStyle w:val="CaptionedFigure"/>
      </w:pPr>
      <w:bookmarkStart w:id="88" w:name="fig:017"/>
      <w:r>
        <w:drawing>
          <wp:inline>
            <wp:extent cx="4687503" cy="5967663"/>
            <wp:effectExtent b="0" l="0" r="0" t="0"/>
            <wp:docPr descr="Рис. 17: Программа в файле tas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596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в файле task.asm</w:t>
      </w:r>
    </w:p>
    <w:p>
      <w:pPr>
        <w:pStyle w:val="CaptionedFigure"/>
      </w:pPr>
      <w:bookmarkStart w:id="92" w:name="fig:018"/>
      <w:r>
        <w:drawing>
          <wp:inline>
            <wp:extent cx="5334000" cy="1555181"/>
            <wp:effectExtent b="0" l="0" r="0" t="0"/>
            <wp:docPr descr="Рис. 18: Запуск программы task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task.asm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Хиджази Мохамад</dc:creator>
  <dc:language>ru-RU</dc:language>
  <cp:keywords/>
  <dcterms:created xsi:type="dcterms:W3CDTF">2024-11-06T14:34:11Z</dcterms:created>
  <dcterms:modified xsi:type="dcterms:W3CDTF">2024-11-06T14:34:11Z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