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6F4E37"/>
          </w:tcPr>
          <w:p>
            <w:pPr>
              <w:spacing w:before="16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Conut AI Chief of Operations Agent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F7F3EE"/>
                <w:sz w:val="19"/>
              </w:rPr>
              <w:t>CEO-ready executive brief  |  4 branches  |  5 operational objectives  |  February 2026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F7F3EE"/>
                <w:sz w:val="17"/>
              </w:rPr>
              <w:t>EECE 503N Hackathon  |  Prepared for demo day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c>
          <w:tcPr>
            <w:tcW w:type="dxa" w:w="1973"/>
            <w:shd w:val="clear" w:color="auto" w:fill="FFF8E1"/>
          </w:tcPr>
          <w:p>
            <w:pPr>
              <w:spacing w:before="80" w:after="0"/>
              <w:jc w:val="center"/>
            </w:pPr>
            <w:r>
              <w:rPr>
                <w:rFonts w:ascii="Calibri" w:hAnsi="Calibri"/>
                <w:b/>
                <w:i w:val="0"/>
                <w:color w:val="6F4E37"/>
                <w:sz w:val="28"/>
              </w:rPr>
              <w:t>4</w:t>
            </w:r>
          </w:p>
        </w:tc>
        <w:tc>
          <w:tcPr>
            <w:tcW w:type="dxa" w:w="1973"/>
            <w:shd w:val="clear" w:color="auto" w:fill="F7F3EE"/>
          </w:tcPr>
          <w:p>
            <w:pPr>
              <w:spacing w:before="80" w:after="0"/>
              <w:jc w:val="center"/>
            </w:pPr>
            <w:r>
              <w:rPr>
                <w:rFonts w:ascii="Calibri" w:hAnsi="Calibri"/>
                <w:b/>
                <w:i w:val="0"/>
                <w:color w:val="6F4E37"/>
                <w:sz w:val="28"/>
              </w:rPr>
              <w:t>5</w:t>
            </w:r>
          </w:p>
        </w:tc>
        <w:tc>
          <w:tcPr>
            <w:tcW w:type="dxa" w:w="1973"/>
            <w:shd w:val="clear" w:color="auto" w:fill="FFF8E1"/>
          </w:tcPr>
          <w:p>
            <w:pPr>
              <w:spacing w:before="80" w:after="0"/>
              <w:jc w:val="center"/>
            </w:pPr>
            <w:r>
              <w:rPr>
                <w:rFonts w:ascii="Calibri" w:hAnsi="Calibri"/>
                <w:b/>
                <w:i w:val="0"/>
                <w:color w:val="6F4E37"/>
                <w:sz w:val="28"/>
              </w:rPr>
              <w:t>7+</w:t>
            </w:r>
          </w:p>
        </w:tc>
        <w:tc>
          <w:tcPr>
            <w:tcW w:type="dxa" w:w="1973"/>
            <w:shd w:val="clear" w:color="auto" w:fill="F7F3EE"/>
          </w:tcPr>
          <w:p>
            <w:pPr>
              <w:spacing w:before="80" w:after="0"/>
              <w:jc w:val="center"/>
            </w:pPr>
            <w:r>
              <w:rPr>
                <w:rFonts w:ascii="Calibri" w:hAnsi="Calibri"/>
                <w:b/>
                <w:i w:val="0"/>
                <w:color w:val="6F4E37"/>
                <w:sz w:val="28"/>
              </w:rPr>
              <w:t>172.4</w:t>
            </w:r>
          </w:p>
        </w:tc>
        <w:tc>
          <w:tcPr>
            <w:tcW w:type="dxa" w:w="1973"/>
            <w:shd w:val="clear" w:color="auto" w:fill="FFF8E1"/>
          </w:tcPr>
          <w:p>
            <w:pPr>
              <w:spacing w:before="80" w:after="0"/>
              <w:jc w:val="center"/>
            </w:pPr>
            <w:r>
              <w:rPr>
                <w:rFonts w:ascii="Calibri" w:hAnsi="Calibri"/>
                <w:b/>
                <w:i w:val="0"/>
                <w:color w:val="6F4E37"/>
                <w:sz w:val="28"/>
              </w:rPr>
              <w:t>0 API</w:t>
            </w:r>
          </w:p>
        </w:tc>
      </w:tr>
      <w:tr>
        <w:tc>
          <w:tcPr>
            <w:tcW w:type="dxa" w:w="1973"/>
            <w:shd w:val="clear" w:color="auto" w:fill="FFF8E1"/>
          </w:tcPr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 w:val="0"/>
                <w:color w:val="787878"/>
                <w:sz w:val="14"/>
              </w:rPr>
              <w:t>BRANCHES ANALYSED</w:t>
            </w:r>
          </w:p>
        </w:tc>
        <w:tc>
          <w:tcPr>
            <w:tcW w:type="dxa" w:w="1973"/>
            <w:shd w:val="clear" w:color="auto" w:fill="F7F3EE"/>
          </w:tcPr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 w:val="0"/>
                <w:color w:val="787878"/>
                <w:sz w:val="14"/>
              </w:rPr>
              <w:t>AI MODELS</w:t>
            </w:r>
          </w:p>
        </w:tc>
        <w:tc>
          <w:tcPr>
            <w:tcW w:type="dxa" w:w="1973"/>
            <w:shd w:val="clear" w:color="auto" w:fill="FFF8E1"/>
          </w:tcPr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 w:val="0"/>
                <w:color w:val="787878"/>
                <w:sz w:val="14"/>
              </w:rPr>
              <w:t>STAFFING ALERTS</w:t>
            </w:r>
          </w:p>
        </w:tc>
        <w:tc>
          <w:tcPr>
            <w:tcW w:type="dxa" w:w="1973"/>
            <w:shd w:val="clear" w:color="auto" w:fill="F7F3EE"/>
          </w:tcPr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 w:val="0"/>
                <w:color w:val="787878"/>
                <w:sz w:val="14"/>
              </w:rPr>
              <w:t>TOP LOCATION SCORE</w:t>
            </w:r>
          </w:p>
        </w:tc>
        <w:tc>
          <w:tcPr>
            <w:tcW w:type="dxa" w:w="1973"/>
            <w:shd w:val="clear" w:color="auto" w:fill="FFF8E1"/>
          </w:tcPr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 w:val="0"/>
                <w:color w:val="787878"/>
                <w:sz w:val="14"/>
              </w:rPr>
              <w:t>COST TO DEPLOY</w:t>
            </w:r>
          </w:p>
        </w:tc>
      </w:tr>
    </w:tbl>
    <w:p>
      <w:pPr>
        <w:spacing w:after="80"/>
      </w:pPr>
    </w:p>
    <w:p>
      <w:pPr>
        <w:spacing w:before="200" w:after="40"/>
        <w:pBdr>
          <w:bottom w:val="single" w:sz="12" w:space="1" w:color="C8913A"/>
        </w:pBdr>
      </w:pPr>
      <w:r>
        <w:rPr>
          <w:rFonts w:ascii="Calibri" w:hAnsi="Calibri"/>
          <w:b/>
          <w:color w:val="6F4E37"/>
          <w:sz w:val="22"/>
        </w:rPr>
        <w:t>Operational Platform (live and deployable)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7"/>
        <w:gridCol w:w="7574"/>
      </w:tblGrid>
      <w:tr>
        <w:tc>
          <w:tcPr>
            <w:tcW w:type="dxa" w:w="4933"/>
            <w:shd w:val="clear" w:color="auto" w:fill="F7F3E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6F4E37"/>
                <w:sz w:val="18"/>
              </w:rPr>
              <w:t>Dashboard:</w:t>
            </w:r>
          </w:p>
        </w:tc>
        <w:tc>
          <w:tcPr>
            <w:tcW w:type="dxa" w:w="4933"/>
            <w:shd w:val="clear" w:color="auto" w:fill="F7F3EE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Streamlit multi-page BI dashboard — 6 report pages + interactive AI agent page</w:t>
            </w:r>
          </w:p>
        </w:tc>
      </w:tr>
      <w:tr>
        <w:tc>
          <w:tcPr>
            <w:tcW w:type="dxa" w:w="4933"/>
            <w:shd w:val="clear" w:color="auto" w:fill="F7F3E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6F4E37"/>
                <w:sz w:val="18"/>
              </w:rPr>
              <w:t>Backend API:</w:t>
            </w:r>
          </w:p>
        </w:tc>
        <w:tc>
          <w:tcPr>
            <w:tcW w:type="dxa" w:w="4933"/>
            <w:shd w:val="clear" w:color="auto" w:fill="F7F3EE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FastAPI with 8 REST endpoints (/combo, /demand, /expansion, /staffing, /strategy, /overview, /query, /health)</w:t>
            </w:r>
          </w:p>
        </w:tc>
      </w:tr>
      <w:tr>
        <w:tc>
          <w:tcPr>
            <w:tcW w:type="dxa" w:w="4933"/>
            <w:shd w:val="clear" w:color="auto" w:fill="F7F3E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6F4E37"/>
                <w:sz w:val="18"/>
              </w:rPr>
              <w:t>AI Agent:</w:t>
            </w:r>
          </w:p>
        </w:tc>
        <w:tc>
          <w:tcPr>
            <w:tcW w:type="dxa" w:w="4933"/>
            <w:shd w:val="clear" w:color="auto" w:fill="F7F3EE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Local rule-based Q&amp;A (zero API cost, works offline, deploy-ready); optionally upgrades to Google Gemini 2.5 Flash via .env — no code changes</w:t>
            </w:r>
          </w:p>
        </w:tc>
      </w:tr>
      <w:tr>
        <w:tc>
          <w:tcPr>
            <w:tcW w:type="dxa" w:w="4933"/>
            <w:shd w:val="clear" w:color="auto" w:fill="F7F3E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6F4E37"/>
                <w:sz w:val="18"/>
              </w:rPr>
              <w:t>Models:</w:t>
            </w:r>
          </w:p>
        </w:tc>
        <w:tc>
          <w:tcPr>
            <w:tcW w:type="dxa" w:w="4933"/>
            <w:shd w:val="clear" w:color="auto" w:fill="F7F3EE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Apriori · Linear Regression · Multi-signal heuristic · Headcount buffer (×1.15) · Segment share analysis</w:t>
            </w:r>
          </w:p>
        </w:tc>
      </w:tr>
      <w:tr>
        <w:tc>
          <w:tcPr>
            <w:tcW w:type="dxa" w:w="4933"/>
            <w:shd w:val="clear" w:color="auto" w:fill="F7F3E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6F4E37"/>
                <w:sz w:val="18"/>
              </w:rPr>
              <w:t>Data:</w:t>
            </w:r>
          </w:p>
        </w:tc>
        <w:tc>
          <w:tcPr>
            <w:tcW w:type="dxa" w:w="4933"/>
            <w:shd w:val="clear" w:color="auto" w:fill="F7F3EE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9 report-style POS CSVs auto-parsed: header stripping, copyright removal, comma-number normalisation</w:t>
            </w:r>
          </w:p>
        </w:tc>
      </w:tr>
    </w:tbl>
    <w:p>
      <w:pPr>
        <w:spacing w:after="80"/>
      </w:pPr>
    </w:p>
    <w:p>
      <w:pPr>
        <w:spacing w:before="200" w:after="40"/>
        <w:pBdr>
          <w:bottom w:val="single" w:sz="12" w:space="1" w:color="C8913A"/>
        </w:pBdr>
      </w:pPr>
      <w:r>
        <w:rPr>
          <w:rFonts w:ascii="Calibri" w:hAnsi="Calibri"/>
          <w:b/>
          <w:color w:val="6F4E37"/>
          <w:sz w:val="22"/>
        </w:rPr>
        <w:t>Problem Statement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19"/>
        </w:rPr>
        <w:t>Conut — a Lebanese sweets and beverage chain with four branches (Conut, Conut-Tyre, Conut Jnah, Main Street Coffee) — had strong brand presence but no structured system for operational decision-making. Branch managers made roster, inventory, and promotion decisions without data, while leadership lacked a single view of network health. Five specific blindspots drove unnecessary cost and lost revenue: unoptimised product bundles, no demand forecast, no expansion readiness framework, chronic understaffing on specific shifts, and underperforming beverage revenue relative to industry benchmarks. We built a complete AI-powered Operations Intelligence platform to close all five gaps simultaneously, producing a CEO-ready report and an interactive dashboard that runs on live POS data with a single command.</w:t>
      </w:r>
    </w:p>
    <w:p>
      <w:pPr>
        <w:spacing w:before="200" w:after="40"/>
        <w:pBdr>
          <w:bottom w:val="single" w:sz="12" w:space="1" w:color="C8913A"/>
        </w:pBdr>
      </w:pPr>
      <w:r>
        <w:rPr>
          <w:rFonts w:ascii="Calibri" w:hAnsi="Calibri"/>
          <w:b/>
          <w:color w:val="6F4E37"/>
          <w:sz w:val="22"/>
        </w:rPr>
        <w:t>Key Findings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"/>
        <w:gridCol w:w="8986"/>
      </w:tblGrid>
      <w:tr>
        <w:tc>
          <w:tcPr>
            <w:tcW w:type="dxa" w:w="4933"/>
            <w:shd w:val="clear" w:color="auto" w:fill="6F4E37"/>
          </w:tcPr>
          <w:p/>
        </w:tc>
        <w:tc>
          <w:tcPr>
            <w:tcW w:type="dxa" w:w="4933"/>
            <w:shd w:val="clear" w:color="auto" w:fill="F7F3EE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sz w:val="18"/>
              </w:rPr>
              <w:t>Objective 1 — Product Combo Optimization (Apriori Association Rules)</w:t>
              <w:br/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Delivery basket data mined with Apriori. 10 association rules identified; 4 combos with lift ≥ 2.0× qualify as prime bundle candidates. Strongest pair: lift 3.23×, 60% cross-purchase confidence. A 5% bundle discount recovers margin within 2–3 units through basket uplift.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"/>
        <w:gridCol w:w="8986"/>
      </w:tblGrid>
      <w:tr>
        <w:tc>
          <w:tcPr>
            <w:tcW w:type="dxa" w:w="4933"/>
            <w:shd w:val="clear" w:color="auto" w:fill="6F4E37"/>
          </w:tcPr>
          <w:p/>
        </w:tc>
        <w:tc>
          <w:tcPr>
            <w:tcW w:type="dxa" w:w="4933"/>
            <w:shd w:val="clear" w:color="auto" w:fill="F7F3EE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sz w:val="18"/>
              </w:rPr>
              <w:t>Objective 2 — Demand Forecasting by Branch (Linear Regression + Confidence Bands)</w:t>
              <w:br/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Monthly sales modelled per branch with 3–12-month projection horizon. Main Street Coffee leads at 4.49M units/month projected. 60% demand gap between top and bottom branch signals uneven market penetration and asymmetric resource needs. Growing branches flagged for inventory pre-positioning.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"/>
        <w:gridCol w:w="8986"/>
      </w:tblGrid>
      <w:tr>
        <w:tc>
          <w:tcPr>
            <w:tcW w:type="dxa" w:w="4933"/>
            <w:shd w:val="clear" w:color="auto" w:fill="6F4E37"/>
          </w:tcPr>
          <w:p/>
        </w:tc>
        <w:tc>
          <w:tcPr>
            <w:tcW w:type="dxa" w:w="4933"/>
            <w:shd w:val="clear" w:color="auto" w:fill="F7F3EE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sz w:val="18"/>
              </w:rPr>
              <w:t>Objective 3 — Expansion Feasibility (3-signal Model + 10-location Composite Scoring)</w:t>
              <w:br/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Three binary signals: network growth &gt; 1%/month, saturation &gt; 40% revenue at one branch, customer density &gt; 500 network-wide. Verdict: RECOMMENDED — all 3 signals met. 10 Beirut-area locations scored: demand × growth factor − (competition risk × 0.3). Top candidate: Verdun (composite score 172.4). Recommended next step: site survey.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"/>
        <w:gridCol w:w="8986"/>
      </w:tblGrid>
      <w:tr>
        <w:tc>
          <w:tcPr>
            <w:tcW w:type="dxa" w:w="4933"/>
            <w:shd w:val="clear" w:color="auto" w:fill="6F4E37"/>
          </w:tcPr>
          <w:p/>
        </w:tc>
        <w:tc>
          <w:tcPr>
            <w:tcW w:type="dxa" w:w="4933"/>
            <w:shd w:val="clear" w:color="auto" w:fill="F7F3EE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sz w:val="18"/>
              </w:rPr>
              <w:t>Objective 4 — Shift Staffing Optimization (Mean × 1.15 Safety Buffer)</w:t>
              <w:br/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Punch-in/out logs aggregated by branch × shift × date across 7 branch-shift slots. 7 at-risk shifts have recorded minimum headcounts below 2 staff. Recommended daily network total: 15 staff. Single-staff shifts create service failure, burnout, and compliance risk — requiring immediate roster correction.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"/>
        <w:gridCol w:w="8986"/>
      </w:tblGrid>
      <w:tr>
        <w:tc>
          <w:tcPr>
            <w:tcW w:type="dxa" w:w="4933"/>
            <w:shd w:val="clear" w:color="auto" w:fill="6F4E37"/>
          </w:tcPr>
          <w:p/>
        </w:tc>
        <w:tc>
          <w:tcPr>
            <w:tcW w:type="dxa" w:w="4933"/>
            <w:shd w:val="clear" w:color="auto" w:fill="F7F3EE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sz w:val="18"/>
              </w:rPr>
              <w:t>Objective 5 — Beverage Revenue Growth (Segment Share &amp; Benchmarking)</w:t>
              <w:br/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Combined beverage share: 5.9% (coffee 3.4% + milkshake 2.6%). Industry benchmark for specialty café-bakery: 35% — a 29.1pp gap. Underperforming branches identified at item level; 5 ranked strategies generated with explicit timelines and expected impact.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"/>
        <w:gridCol w:w="8986"/>
      </w:tblGrid>
      <w:tr>
        <w:tc>
          <w:tcPr>
            <w:tcW w:type="dxa" w:w="4933"/>
            <w:shd w:val="clear" w:color="auto" w:fill="2D5A8E"/>
          </w:tcPr>
          <w:p/>
        </w:tc>
        <w:tc>
          <w:tcPr>
            <w:tcW w:type="dxa" w:w="4933"/>
            <w:shd w:val="clear" w:color="auto" w:fill="EBF2FC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sz w:val="18"/>
              </w:rPr>
              <w:t>Additive Feature — AI Operations Agent (Local Rule-based + Optional Gemini)</w:t>
              <w:br/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Natural-language Q&amp;A embedded in the dashboard — no API key or internet required. The local agent classifies questions across all 5 domains using keyword scoring, runs the relevant model, and returns structured markdown answers with real numbers. GEMINI_API_KEY in .env seamlessly upgrades to Google Gemini 2.5 Flash; /health exposes agent_mode: local|gemini so the dashboard self-configures.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33"/>
            <w:shd w:val="clear" w:color="auto" w:fill="F5F5F5"/>
          </w:tcPr>
          <w:p>
            <w:pPr>
              <w:spacing w:before="440" w:after="80"/>
              <w:jc w:val="center"/>
            </w:pPr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[ SCREENSHOT — Figure 1: COO Briefing — Network Health Scorecard ]</w:t>
            </w:r>
          </w:p>
          <w:p>
            <w:pPr>
              <w:spacing w:before="80" w:after="440"/>
              <w:jc w:val="center"/>
            </w:pPr>
            <w:r>
              <w:rPr>
                <w:rFonts w:ascii="Calibri" w:hAnsi="Calibri"/>
                <w:b w:val="0"/>
                <w:i/>
                <w:color w:val="787878"/>
                <w:sz w:val="15"/>
              </w:rPr>
              <w:t>KPI cards + demand ranking bar chart + priority action board</w:t>
            </w:r>
          </w:p>
        </w:tc>
        <w:tc>
          <w:tcPr>
            <w:tcW w:type="dxa" w:w="4933"/>
            <w:shd w:val="clear" w:color="auto" w:fill="F5F5F5"/>
          </w:tcPr>
          <w:p>
            <w:pPr>
              <w:spacing w:before="440" w:after="80"/>
              <w:jc w:val="center"/>
            </w:pPr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[ SCREENSHOT — Figure 2: Combo Optimization — Apriori Lift Chart ]</w:t>
            </w:r>
          </w:p>
          <w:p>
            <w:pPr>
              <w:spacing w:before="80" w:after="440"/>
              <w:jc w:val="center"/>
            </w:pPr>
            <w:r>
              <w:rPr>
                <w:rFonts w:ascii="Calibri" w:hAnsi="Calibri"/>
                <w:b w:val="0"/>
                <w:i/>
                <w:color w:val="787878"/>
                <w:sz w:val="15"/>
              </w:rPr>
              <w:t>Lift bars with 2.0× threshold line + confidence vs. lift scatter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40"/>
        <w:pBdr>
          <w:bottom w:val="single" w:sz="12" w:space="1" w:color="C8913A"/>
        </w:pBdr>
      </w:pPr>
      <w:r>
        <w:rPr>
          <w:rFonts w:ascii="Calibri" w:hAnsi="Calibri"/>
          <w:b/>
          <w:color w:val="6F4E37"/>
          <w:sz w:val="22"/>
        </w:rPr>
        <w:t>Recommended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97"/>
            <w:shd w:val="clear" w:color="auto" w:fill="6F4E3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304"/>
            <w:shd w:val="clear" w:color="auto" w:fill="6F4E3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Timeline</w:t>
            </w:r>
          </w:p>
        </w:tc>
        <w:tc>
          <w:tcPr>
            <w:tcW w:type="dxa" w:w="5386"/>
            <w:shd w:val="clear" w:color="auto" w:fill="6F4E3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075"/>
            <w:shd w:val="clear" w:color="auto" w:fill="6F4E3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Impact</w:t>
            </w:r>
          </w:p>
        </w:tc>
      </w:tr>
      <w:tr>
        <w:tc>
          <w:tcPr>
            <w:tcW w:type="dxa" w:w="397"/>
            <w:shd w:val="clear" w:color="auto" w:fill="FFEBEB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1</w:t>
            </w:r>
          </w:p>
        </w:tc>
        <w:tc>
          <w:tcPr>
            <w:tcW w:type="dxa" w:w="1304"/>
            <w:shd w:val="clear" w:color="auto" w:fill="FFEBE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6F4E37"/>
                <w:sz w:val="18"/>
              </w:rPr>
              <w:t>This week</w:t>
            </w:r>
          </w:p>
        </w:tc>
        <w:tc>
          <w:tcPr>
            <w:tcW w:type="dxa" w:w="5386"/>
            <w:shd w:val="clear" w:color="auto" w:fill="FFEBE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Re-roster all 7 at-risk shifts to minimum 2 staff before next operating day; use model recommended headcounts as the new baseline.</w:t>
            </w:r>
          </w:p>
        </w:tc>
        <w:tc>
          <w:tcPr>
            <w:tcW w:type="dxa" w:w="2075"/>
            <w:shd w:val="clear" w:color="auto" w:fill="FFEBE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Service risk eliminated; compliance exposure removed</w:t>
            </w:r>
          </w:p>
        </w:tc>
      </w:tr>
      <w:tr>
        <w:tc>
          <w:tcPr>
            <w:tcW w:type="dxa" w:w="397"/>
            <w:shd w:val="clear" w:color="auto" w:fill="FFEBEB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2</w:t>
            </w:r>
          </w:p>
        </w:tc>
        <w:tc>
          <w:tcPr>
            <w:tcW w:type="dxa" w:w="1304"/>
            <w:shd w:val="clear" w:color="auto" w:fill="FFEBE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6F4E37"/>
                <w:sz w:val="18"/>
              </w:rPr>
              <w:t>This week</w:t>
            </w:r>
          </w:p>
        </w:tc>
        <w:tc>
          <w:tcPr>
            <w:tcW w:type="dxa" w:w="5386"/>
            <w:shd w:val="clear" w:color="auto" w:fill="FFEBE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Activate top bundle (lift 3.23×) in delivery app and at POS at 5–8% combined discount.</w:t>
            </w:r>
          </w:p>
        </w:tc>
        <w:tc>
          <w:tcPr>
            <w:tcW w:type="dxa" w:w="2075"/>
            <w:shd w:val="clear" w:color="auto" w:fill="FFEBEB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+15% avg delivery basket size</w:t>
            </w:r>
          </w:p>
        </w:tc>
      </w:tr>
      <w:tr>
        <w:tc>
          <w:tcPr>
            <w:tcW w:type="dxa" w:w="397"/>
            <w:shd w:val="clear" w:color="auto" w:fill="FFF8DC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3</w:t>
            </w:r>
          </w:p>
        </w:tc>
        <w:tc>
          <w:tcPr>
            <w:tcW w:type="dxa" w:w="1304"/>
            <w:shd w:val="clear" w:color="auto" w:fill="FFF8D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6F4E37"/>
                <w:sz w:val="18"/>
              </w:rPr>
              <w:t>This month</w:t>
            </w:r>
          </w:p>
        </w:tc>
        <w:tc>
          <w:tcPr>
            <w:tcW w:type="dxa" w:w="5386"/>
            <w:shd w:val="clear" w:color="auto" w:fill="FFF8D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Launch "Coffee Drive" at underperforming branches: barista training, menu prominence, off-peak happy hour 14:00–17:00 Mon–Thu.</w:t>
            </w:r>
          </w:p>
        </w:tc>
        <w:tc>
          <w:tcPr>
            <w:tcW w:type="dxa" w:w="2075"/>
            <w:shd w:val="clear" w:color="auto" w:fill="FFF8D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+3–5pp coffee revenue share</w:t>
            </w:r>
          </w:p>
        </w:tc>
      </w:tr>
      <w:tr>
        <w:tc>
          <w:tcPr>
            <w:tcW w:type="dxa" w:w="397"/>
            <w:shd w:val="clear" w:color="auto" w:fill="FFF8DC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4</w:t>
            </w:r>
          </w:p>
        </w:tc>
        <w:tc>
          <w:tcPr>
            <w:tcW w:type="dxa" w:w="1304"/>
            <w:shd w:val="clear" w:color="auto" w:fill="FFF8D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6F4E37"/>
                <w:sz w:val="18"/>
              </w:rPr>
              <w:t>This month</w:t>
            </w:r>
          </w:p>
        </w:tc>
        <w:tc>
          <w:tcPr>
            <w:tcW w:type="dxa" w:w="5386"/>
            <w:shd w:val="clear" w:color="auto" w:fill="FFF8D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Commission Verdun site survey and lease feasibility study. Run in parallel with the beverage campaign.</w:t>
            </w:r>
          </w:p>
        </w:tc>
        <w:tc>
          <w:tcPr>
            <w:tcW w:type="dxa" w:w="2075"/>
            <w:shd w:val="clear" w:color="auto" w:fill="FFF8DC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Opens path to 5th branch; first-mover advantage</w:t>
            </w:r>
          </w:p>
        </w:tc>
      </w:tr>
      <w:tr>
        <w:tc>
          <w:tcPr>
            <w:tcW w:type="dxa" w:w="397"/>
            <w:shd w:val="clear" w:color="auto" w:fill="EBFCF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5</w:t>
            </w:r>
          </w:p>
        </w:tc>
        <w:tc>
          <w:tcPr>
            <w:tcW w:type="dxa" w:w="1304"/>
            <w:shd w:val="clear" w:color="auto" w:fill="EBFCF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6F4E37"/>
                <w:sz w:val="18"/>
              </w:rPr>
              <w:t>This quarter</w:t>
            </w:r>
          </w:p>
        </w:tc>
        <w:tc>
          <w:tcPr>
            <w:tcW w:type="dxa" w:w="5386"/>
            <w:shd w:val="clear" w:color="auto" w:fill="EBFCF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Milkshake seasonal SKU programme at low-share branches. Limited-edition flavours for trial without permanent menu commitment.</w:t>
            </w:r>
          </w:p>
        </w:tc>
        <w:tc>
          <w:tcPr>
            <w:tcW w:type="dxa" w:w="2075"/>
            <w:shd w:val="clear" w:color="auto" w:fill="EBFCF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+10–20% milkshake volume</w:t>
            </w:r>
          </w:p>
        </w:tc>
      </w:tr>
      <w:tr>
        <w:tc>
          <w:tcPr>
            <w:tcW w:type="dxa" w:w="397"/>
            <w:shd w:val="clear" w:color="auto" w:fill="EBFCF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6</w:t>
            </w:r>
          </w:p>
        </w:tc>
        <w:tc>
          <w:tcPr>
            <w:tcW w:type="dxa" w:w="1304"/>
            <w:shd w:val="clear" w:color="auto" w:fill="EBFCF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6F4E37"/>
                <w:sz w:val="18"/>
              </w:rPr>
              <w:t>This quarter</w:t>
            </w:r>
          </w:p>
        </w:tc>
        <w:tc>
          <w:tcPr>
            <w:tcW w:type="dxa" w:w="5386"/>
            <w:shd w:val="clear" w:color="auto" w:fill="EBFCF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Monthly demand review cadence: re-run forecast on new POS export and adjust inventory buffers for growing vs. declining branches.</w:t>
            </w:r>
          </w:p>
        </w:tc>
        <w:tc>
          <w:tcPr>
            <w:tcW w:type="dxa" w:w="2075"/>
            <w:shd w:val="clear" w:color="auto" w:fill="EBFCF0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Fewer stockouts; avoids over-stocking</w:t>
            </w:r>
          </w:p>
        </w:tc>
      </w:tr>
    </w:tbl>
    <w:p>
      <w:pPr>
        <w:spacing w:after="120"/>
      </w:pPr>
    </w:p>
    <w:p>
      <w:pPr>
        <w:spacing w:before="200" w:after="40"/>
        <w:pBdr>
          <w:bottom w:val="single" w:sz="12" w:space="1" w:color="C8913A"/>
        </w:pBdr>
      </w:pPr>
      <w:r>
        <w:rPr>
          <w:rFonts w:ascii="Calibri" w:hAnsi="Calibri"/>
          <w:b/>
          <w:color w:val="6F4E37"/>
          <w:sz w:val="22"/>
        </w:rPr>
        <w:t>Expected Impact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"/>
        <w:gridCol w:w="8986"/>
      </w:tblGrid>
      <w:tr>
        <w:tc>
          <w:tcPr>
            <w:tcW w:type="dxa" w:w="4933"/>
            <w:shd w:val="clear" w:color="auto" w:fill="27AE60"/>
          </w:tcPr>
          <w:p/>
        </w:tc>
        <w:tc>
          <w:tcPr>
            <w:tcW w:type="dxa" w:w="4933"/>
            <w:shd w:val="clear" w:color="auto" w:fill="EBFCF0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sz w:val="18"/>
              </w:rPr>
              <w:t>If Conut executes the top actions, the principal gains are:</w:t>
              <w:br/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Bundle activation (lift 3.23×, 5% discount)    →  +15% avg delivery basket size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Staffing correction (re-roster 7 shifts)        →  Service and compliance risk eliminated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Coffee Drive (training + menu change)           →  +3–5pp beverage revenue share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5th branch at Verdun (site survey → opening)   →  New revenue stream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Milkshake SKU rollout at low-share branches     →  +10–20% milkshake volume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Closing the 29.1pp beverage gap to the 35% industry benchmark is the single largest near-term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revenue lever — requiring zero capital. Even at 50% capture rate, the beverage mix shift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meaningfully improves margins given beverages command higher margins than baked goods.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"/>
        <w:gridCol w:w="8986"/>
      </w:tblGrid>
      <w:tr>
        <w:tc>
          <w:tcPr>
            <w:tcW w:type="dxa" w:w="4933"/>
            <w:shd w:val="clear" w:color="auto" w:fill="C0392B"/>
          </w:tcPr>
          <w:p/>
        </w:tc>
        <w:tc>
          <w:tcPr>
            <w:tcW w:type="dxa" w:w="4933"/>
            <w:shd w:val="clear" w:color="auto" w:fill="FCEBEB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sz w:val="18"/>
              </w:rPr>
              <w:t>Model limitations to disclose:</w:t>
              <w:br/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Demand forecast: linear regression on limited time window — no seasonality without Prophet.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Expansion: calibrated heuristics, not geodemographic data.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Staffing: assumes stationarity of shift patterns — re-calibrate after roster changes.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Combo: requires minimum basket density; sparse data may fall below Apriori support threshold.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Local agent: keyword-based classification — complex multi-turn reasoning requires Gemini.</w:t>
            </w:r>
          </w:p>
        </w:tc>
      </w:tr>
    </w:tbl>
    <w:p>
      <w:pPr>
        <w:spacing w:after="60"/>
      </w:pPr>
    </w:p>
    <w:p>
      <w:pPr>
        <w:spacing w:before="200" w:after="40"/>
        <w:pBdr>
          <w:bottom w:val="single" w:sz="12" w:space="1" w:color="C8913A"/>
        </w:pBdr>
      </w:pPr>
      <w:r>
        <w:rPr>
          <w:rFonts w:ascii="Calibri" w:hAnsi="Calibri"/>
          <w:b/>
          <w:color w:val="6F4E37"/>
          <w:sz w:val="22"/>
        </w:rPr>
        <w:t>Methodology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626"/>
      </w:tblGrid>
      <w:tr>
        <w:tc>
          <w:tcPr>
            <w:tcW w:type="dxa" w:w="4933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6F4E37"/>
                <w:sz w:val="19"/>
              </w:rPr>
              <w:t>Data Engineering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Parsed 9 report-style POS CSV files. Each contains repeated page headers, copyright footers, comma-formatted numbers, and hierarchical metadata. Custom per-file loaders strip non-data rows, reconstruct the branch/division/group hierarchy, and produce clean analytical DataFrames.</w:t>
            </w:r>
          </w:p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6F4E37"/>
                <w:sz w:val="19"/>
              </w:rPr>
              <w:t>Analytical Models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• Combo: Apriori (mlxtend); configurable thresholds; fallback to top-item ranking.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• Demand: per-branch linear regression; point forecast + 90% confidence bounds; up to 12-month horizon.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• Expansion: 3 binary signals; composite score = demand × growth − competition × 0.3.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• Staffing: mean × 1.15 per (branch, shift), capped at observed max; flags min &lt; 2.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• Beverage: segment share vs. benchmarks (20% coffee / 10% shake / 35% combined).</w:t>
            </w:r>
          </w:p>
        </w:tc>
        <w:tc>
          <w:tcPr>
            <w:tcW w:type="dxa" w:w="4933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6F4E37"/>
                <w:sz w:val="19"/>
              </w:rPr>
              <w:t>AI Agent Architecture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Two-tier design: (1) Local agent — keyword scoring across 5 topic buckets, runs relevant model, returns structured markdown instantly, no internet. (2) Gemini 2.5 Flash — injected via .env; /query endpoint auto-selects tier; /health exposes agent_mode: local|gemini.</w:t>
            </w:r>
          </w:p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6F4E37"/>
                <w:sz w:val="19"/>
              </w:rPr>
              <w:t>Productisation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• FastAPI — 8 endpoints, numpy-safe JSON, CORS-enabled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• Streamlit — 7 pages, full CSS design system, Plotly charts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• One-command startup: start_api.bat + start_dashboard.bat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• OpenClaw skill — all endpoints exposed as a Claude Code skill</w:t>
            </w:r>
          </w:p>
          <w:p>
            <w:pPr>
              <w:spacing w:before="80" w:after="0"/>
            </w:pPr>
            <w:r>
              <w:rPr>
                <w:rFonts w:ascii="Calibri" w:hAnsi="Calibri"/>
                <w:b/>
                <w:i w:val="0"/>
                <w:color w:val="6F4E37"/>
                <w:sz w:val="19"/>
              </w:rPr>
              <w:t>Reproducibility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2D5A8E"/>
                <w:sz w:val="16"/>
              </w:rPr>
              <w:t>pip install -r requirements.txt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2D5A8E"/>
                <w:sz w:val="16"/>
              </w:rPr>
              <w:t>start_api.bat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2D5A8E"/>
                <w:sz w:val="16"/>
              </w:rPr>
              <w:t>start_dashboard.bat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33"/>
            <w:shd w:val="clear" w:color="auto" w:fill="F5F5F5"/>
          </w:tcPr>
          <w:p>
            <w:pPr>
              <w:spacing w:before="440" w:after="80"/>
              <w:jc w:val="center"/>
            </w:pPr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[ SCREENSHOT — Figure 3: Expansion — Signal Analysis &amp; Location Scoring ]</w:t>
            </w:r>
          </w:p>
          <w:p>
            <w:pPr>
              <w:spacing w:before="80" w:after="440"/>
              <w:jc w:val="center"/>
            </w:pPr>
            <w:r>
              <w:rPr>
                <w:rFonts w:ascii="Calibri" w:hAnsi="Calibri"/>
                <w:b w:val="0"/>
                <w:i/>
                <w:color w:val="787878"/>
                <w:sz w:val="15"/>
              </w:rPr>
              <w:t>3 signal verdict cards + composite score chart + top-3 location cards</w:t>
            </w:r>
          </w:p>
        </w:tc>
        <w:tc>
          <w:tcPr>
            <w:tcW w:type="dxa" w:w="4933"/>
            <w:shd w:val="clear" w:color="auto" w:fill="F5F5F5"/>
          </w:tcPr>
          <w:p>
            <w:pPr>
              <w:spacing w:before="440" w:after="80"/>
              <w:jc w:val="center"/>
            </w:pPr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[ SCREENSHOT — Figure 4: Ask the Agent — Local Agent Response ]</w:t>
            </w:r>
          </w:p>
          <w:p>
            <w:pPr>
              <w:spacing w:before="80" w:after="440"/>
              <w:jc w:val="center"/>
            </w:pPr>
            <w:r>
              <w:rPr>
                <w:rFonts w:ascii="Calibri" w:hAnsi="Calibri"/>
                <w:b w:val="0"/>
                <w:i/>
                <w:color w:val="787878"/>
                <w:sz w:val="15"/>
              </w:rPr>
              <w:t>Natural-language question + structured markdown answer with real data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33"/>
            <w:shd w:val="clear" w:color="auto" w:fill="F5F5F5"/>
          </w:tcPr>
          <w:p>
            <w:pPr>
              <w:spacing w:before="440" w:after="80"/>
              <w:jc w:val="center"/>
            </w:pPr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[ SCREENSHOT — Figure 5: Shift Staffing — Recommended vs. Historical Headcount ]</w:t>
            </w:r>
          </w:p>
          <w:p>
            <w:pPr>
              <w:spacing w:before="80" w:after="440"/>
              <w:jc w:val="center"/>
            </w:pPr>
            <w:r>
              <w:rPr>
                <w:rFonts w:ascii="Calibri" w:hAnsi="Calibri"/>
                <w:b w:val="0"/>
                <w:i/>
                <w:color w:val="787878"/>
                <w:sz w:val="15"/>
              </w:rPr>
              <w:t>Grouped bar chart + min/max range plot + at-risk alerts</w:t>
            </w:r>
          </w:p>
        </w:tc>
        <w:tc>
          <w:tcPr>
            <w:tcW w:type="dxa" w:w="4933"/>
            <w:shd w:val="clear" w:color="auto" w:fill="F5F5F5"/>
          </w:tcPr>
          <w:p>
            <w:pPr>
              <w:spacing w:before="440" w:after="80"/>
              <w:jc w:val="center"/>
            </w:pPr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[ SCREENSHOT — Figure 6: Beverage Growth — Segment Share &amp; Strategy Playbook ]</w:t>
            </w:r>
          </w:p>
          <w:p>
            <w:pPr>
              <w:spacing w:before="80" w:after="440"/>
              <w:jc w:val="center"/>
            </w:pPr>
            <w:r>
              <w:rPr>
                <w:rFonts w:ascii="Calibri" w:hAnsi="Calibri"/>
                <w:b w:val="0"/>
                <w:i/>
                <w:color w:val="787878"/>
                <w:sz w:val="15"/>
              </w:rPr>
              <w:t>Donut chart + stacked per-branch bar + ranked strategy expanders</w:t>
            </w:r>
          </w:p>
        </w:tc>
      </w:tr>
    </w:tbl>
    <w:p>
      <w:pPr>
        <w:spacing w:after="80"/>
      </w:pPr>
    </w:p>
    <w:p>
      <w:pPr>
        <w:spacing w:before="80" w:after="0"/>
        <w:jc w:val="center"/>
      </w:pPr>
      <w:r>
        <w:rPr>
          <w:rFonts w:ascii="Calibri" w:hAnsi="Calibri"/>
          <w:b w:val="0"/>
          <w:i/>
          <w:color w:val="787878"/>
          <w:sz w:val="16"/>
        </w:rPr>
        <w:t>Prepared for EECE 503N Hackathon  |  February 2026  |  All analytics run on Conut POS exports  |  No external services required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