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Rakht Online Shopping: Entrepreneurship Final Project</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Aisultan Azmoon; Farida Sultanpur; Mohammad Mustafa Hakimi; Kereshma Fakhri</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University of Afghanistan</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MGT 260: Entrepreneurship</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Shamroz Masjidi</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7, 2025</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bookmarkStart w:colFirst="0" w:colLast="0" w:name="_1ppnow2ssx13" w:id="0"/>
      <w:bookmarkEnd w:id="0"/>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Executive Summary</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business is an online clothing e-commerce platform based in Kabul, Afghanistan, designed to provide affordable, trendy, and culturally appropriate apparel to young consumers. The platform will combine traditional Afghan clothing styles with modern fashion trends, offering customers both ready-made garments and customizable options. The venture operates under a lean founder-led model with four equity-only founders, minimal staffing (retail advisor: 300 USD/month; motorcycle courier: 350 USD/month), and low overhead, ensuring financial efficiency and rapid scalability within Afghanistan’s developing digital infrastructure. A 50,000 USD startup capital is allocated strategically: 20,500 USD inventory (imports, local SMEs, customs), 5,000 USD app reserve, 3,000 USD marketing, 4,000 USD delivery setup, and 5,000 USD emergency reserve, with operational break-even by Month 2 and full recovery in 14.8 months.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problem it solves is the lack of accessible, reliable, and diverse clothing options in Afghanistan’s fragmented retail market. Many consumers, especially youth and women, face challenges such as limited store availability, high costs, and lack of variety in local shops. The timing is favorable because Afghanistan’s e-commerce sector is growing, with apparel being the leading category, accounting for 15.43% of online stores in 2025 (AfterShip, 2025). Rising internet penetration, mobile broadband adoption, and youth-driven demand for fashion make this venture highly relevant. Forecasts assume 2,000–10,000 monthly visitors by Month 6, a 1.8% conversion rate, 13 USD average order value (AOV; uplift over 65 USD free shipping), 25% repeat rate, and 35% margin, yielding Year 1 revenue of 40,420 USD (36,600 USD sales, 1,140 USD delivery profit, 2,680 USD analytics uplift), expenses of 32,487 USD (including 10,200 USD operations, 18,450 USD COGS, and 10% tax), and net profit of 6,933 USD (17.1% margin).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startup investment of 50,000 USD, the business will focus on building a user-friendly mobile app and website, secure payment systems, and partnerships with local garment producers. A sourcing mix of 75% imports (15,000 USD) and 25% local SMEs (5,000 USD) ensures resilient sourcing: imports for trendy volume (COGS approximately 12 USD per item) and local suppliers to buffer border and customs risks while supporting women entrepreneurs, driving 35% margins and approximately 90% sell-through. Strategic allocation covers WordPress/AppPresser (2,000 USD), a custom app reserve (5,000 USD), DigitalOcean hosting (10 USD/month, scalable to 20,000 visitors), data analytics (Python/R on founder laptops), and contingencies such as generator fuel for blackouts.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expected to generate sustainable revenue streams through direct sales, seasonal promotions, and collaborations with Afghan designers, while also creating jobs and supporting local textile industries (Salam Watandar, 2024). The resilient model mitigates risks related to fuel volatility (fixed 100 USD/month), power and internet outages (solar/generator), customs delays (25% local buffer), and political instability (remote female roles and cash on delivery [COD]), with a 5,000 USD reserve ensuring a 12+ month runway even at 50% of projected sales.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Opportunity Analysis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viability is supported by conservative Afghan benchmarks, a 90% inventory sell-through, and weekly analytics pivots for a 6.5% uplift, positioning Rakht for scalable growth and comprehensive cost coverage (taxes, customs, operations).</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Target Market and Unmet Needs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customers are Afghan youth (ages 15–45), university students, and young professionals who increasingly seek modern yet culturally respectful clothing.</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Unmet Needs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Affordable access to diverse and quality clothing styles.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Reliable online shopping with delivery services.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Options for both traditional Afghan attire and modern fashion.</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Secure payment systems and trust in e-commerce platforms.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Surveys and market data show that youth demand for trendy clothing is rising, with many seeking a balance between modern and traditional lifestyles (Salam Watandar, 2024).</w:t>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Competitor and Industry Overview</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competitors include small-scale online shops (e.g., Sale.af) and physical boutiques, but most lack scale, professional logistics, or variety (Sale.af, 2025). The Afghan garment sector is dominated by small and medium enterprises (SMEs), which face challenges in distribution and marketing (Faqiri et al., 2019). International e-commerce penetration remains low, but local platforms are emerging, showing strong potential for growth (Lloyds Bank Trade Portal, 2025). Clothing e-commerce has higher scalability than cafés or bookstores and can expand across provinces without heavy infrastructure costs.</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Why Afghanistan Is a Viable Location</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Demographically, Afghanistan has a youth-dominated population, with over 60% under age 25, driving fashion demand. Internet penetration is increasing, with millions of Afghans now accessing mobile broadband (DataReportal, 2025). Afghan youth are increasingly interested in fashion that blends modern and traditional elements. Apparel is already the largest online retail category, but supply remains fragmented and underdeveloped. Supporting local garment producers and SMEs can stimulate job creation and strengthen Afghanistan’s textile industry (Kardan.edu.af, 2019).</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Business Model and Strategy</w:t>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Value Proposition</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venture provides an online clothing e-commerce platform in Kabul offering:</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Affordable, trendy, culturally appropriate apparel for Afghan youth and women.</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unique blend of traditional Afghan styles and modern fashion, available in both ready-made and customizable formats.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Reliable delivery, secure ordering, and trustworthy online shopping in Afghanistan’s fragmented retail market.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Greater variety than physical boutiques and amateur online shops.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 for local garment producers (SMEs) and women-led microbusinesses.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customer promise is a safe, affordable, and modern way for young Afghans to access diverse fashion options without leaving home.</w:t>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Key Activities, Resources, and Partnerships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activities include: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 sourcing from imports (75%) and local SMEs (25%).</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Online platform management (WordPress and AppPresser).</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 marketing, inventory analytics, and customer support.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Delivery logistics using a dedicated motorcycle courier.</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Weekly data-driven optimization using Python/R to improve conversion rates.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resources include: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Four equity-only founders covering technology, sourcing, analytics, and branding.</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- 50,000 USD startup capital with detailed allocation for inventory, app, marketing, and delivery setup.</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Warehouse and storage facilities in Kabul.</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Solar and generator backup to mitigate power outages.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DigitalOcean hosting environment with autoscale capacity.</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Strong social networks, a retail advisor, and courier capacity.</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partnerships include: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 garment producers (women-led SMEs) for resilient, ethical sourcing.</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 channels via Pakistan, Iran, and China (flexible based on border conditions).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retail advisor with Kabul and Shahre Naw workshop connections.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 system providers (COD-centric with optional digital gateways).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University communities for pop-up sales during blackouts.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Pricing, Marketing, and Sales Approach</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pricing strategy targets an average order value of 13 USD, with incentives for orders over 65 USD (free shipping) and a 35% profit margin through mixed sourcing (imports and local). The delivery model charges a small delivery fee for orders under 65 USD (0.40 USD profit) and offers free shipping for orders over 65 USD, with a total annual delivery profit of 1,140 USD.</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marketing strategy is low-cost and digital-first, using social media targeting Afghan youth (e.g., Instagram, TikTok replicas, WhatsApp), seasonal promotions, and designer collaborations, supported by a 3,000 USD annual marketing budget. Surveys and data analytics are used for personalization, with an expected 6.5% uplift, and trust-building content such as unboxings, testimonials, and local SME stories.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are primarily through a mobile-first website and hybrid app. COD is the dominant method due to banking limitations. The venture targets a 1.8% conversion rate and a 25% repeat customer rate.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Operations Plan</w:t>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Location and Facilities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are based in Kabul, benefiting from youth demographics and growing mobile broadband penetration. The business uses a storage facility with electricity and internet costing approximately 60 USD per month. A solar system and generator setup mitigates power outages. The online infrastructure uses DigitalOcean cloud hosting with autoscaling at higher traffic, minimizing physical infrastructure needs.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Staffing Needs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startup follows an ultra-lean staffing model. There are four unpaid founders responsible for technology and security, inventory and supplier coordination, marketing and branding, and data analytics and financial management. Paid staff include a retail advisor (300 USD per month) who provides cultural design oversight and sourcing connections, and a motorcycle courier (350 USD per month, including fuel) who handles approximately 25 orders per day, with a second courier added when reaching 600 orders per month. Total personnel cost is 650 USD per month (7,800 USD per year).</w:t>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Technology and Required Resources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infrastructure includes a website and app built on WordPress and AppPresser (2,000 USD setup) with a 5,000 USD reserve for a future custom app, cloud hosting on DigitalOcean (10 USD/month, scalable to 20 USD), SSL certificates, daily backups, and 24/7 monitoring by two technical founders, and analytics using Python, R, and Google Colab. Operational resources include a motorcycle for delivery (4,000 USD initial setup), packaging, labels, storage utilities, generator and solar panels for blackout resiliency, and a 5,000 USD emergency reserve for geopolitical or economic shocks.</w:t>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Financial Plan</w:t>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Key Financial Assumptions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and customer assumptions include 2,000–10,000 monthly visitors, a 1.8% conversion rate, 13 USD AOV, 25% repeat customers, and a 35% margin. Cost assumptions include four equity-only founders, an advisor at 300 USD per month, a courier at 350 USD per month, and inventory of 20,000 USD including customs, with registration and taxes included.</w:t>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Startup Budget Allocation (50,000 USD Total)</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Inventory: 20,500 USD.</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WordPress/AppPresser: 2,000 USD.</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 app: 5,000 USD.</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Marketing: 3,000 USD.</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Delivery setup: 4,000 USD.</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Registration: 500 USD.</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Analytics tools: 500 USD.</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Advisor onboarding: 1,000 USD.</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Hosting: 120 USD.</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Utilities: 1,000 USD.</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Emergency reserve: 5,000 USD.</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Contingency: 7,380 USD.</w:t>
      </w:r>
    </w:p>
    <w:p w:rsidR="00000000" w:rsidDel="00000000" w:rsidP="00000000" w:rsidRDefault="00000000" w:rsidRPr="00000000" w14:paraId="000000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Operating Expenses (12 Months)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costs are 3,600 USD for the advisor and 4,200 USD for the courier, totaling 7,800 USD. Operations costs include utilities (720 USD), packaging (360 USD), hosting (120 USD), payment fees (180 USD), logistics (360 USD), imports miscellaneous (200 USD), and generator fuel (655 USD), totaling approximately 2,400 USD. Total operating expenses are 10,200 USD.</w:t>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Inventory Model and COGS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is 20,500 USD, with 75% imports (12 USD per unit) and 25% local (6.50 USD per unit), resulting in average COGS of approximately 10.50 USD. With 90% sell-through, COGS are 18,450 USD and revenue is 28,385 USD plus analytics uplift, totaling 36,600 USD.</w:t>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Delivery Economics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5,700 orders per year, paying orders (4,275 × 0.40 USD) yield 1,710 USD, and free orders (1,425 × –0.40 USD) cost –570 USD, resulting in net delivery profit of 1,140 USD.</w:t>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 Data Analytics Revenue Boost</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uplift of 6.5% adds 2,680 USD in revenue.</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5.7 Total Revenue (12 Months)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and analytics revenue total 39,280 USD, with delivery adding 1,140 USD, for total revenue of 40,420 USD.</w:t>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5.8 Expenses Summary (Year 1)</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Expenses include operating expenses (10,200 USD), marketing (3,000 USD), app maintenance (120 USD), COGS (18,450 USD), and tax (717 USD), totaling 32,487 USD.</w:t>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5.9 Net Profit (Year 1)</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revenue of 40,420 USD, pre-tax profit is 7,650 USD, tax is 717 USD, and net profit is 6,933 USD (17.1% margin).</w:t>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5.10 Break-Even Analysis</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break-even is projected for Month 2, with full startup recovery in approximately 14.8 months.</w:t>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5.11 Financial Risks and Mitigation</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mitigation measures include fuel contracts, solar and generator backup, diversified imports, political risk mitigation, offline COD resilience, analytics-driven pivots, and scalable hosting with DigitalOcean. Even in worst-case scenarios, the model aims to remain cash-flow positive.</w:t>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5.12 Key Takeaways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 covers taxes and customs, maintains strong margins, applies realistic analytics uplift, uses scalable hosting, and achieves net profit within the first year, supporting a 14.8‑month return on investment.</w:t>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Risk Analysis</w:t>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Political Risks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instability, including Taliban governance, Sharia enforcement, restrictions on women, and ISIS-K threats, presents critical risk. Mitigations include assigning female founders to digital and creative roles with low public exposure, having male founders manage suppliers, fulfillment, and couriers, using COD to avoid banking constraints, relying on pop-up sales during digital restrictions, and maintaining a 5,000 USD emergency reserve for six months of operations.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Border closures at Torkham and Hairatan, which could delay 75% of imports, pose high risk. Mitigations include a 25% local SME inventory buffer ensuring approximately 60% sales continuity, alternate sourcing routes via Iran and China, and analytics to enable a full local sourcing pivot within 48 hours.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outages, including government blackouts, pose critical risk. Mitigations include COD orders via WhatsApp and SMS, cloud backups that restore the site within 24 hours, and university pop-up sales during prolonged outages.</w:t>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Economic Risks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Fuel volatility and high poverty (approximately 90% poverty rate) affect both costs and demand. Mitigations include a fixed 100 USD per month fuel reimbursement, a 45 km/L motorcycle to minimize fuel cost, and solar panels plus generators to reduce grid dependence.</w:t>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Sales Performance Risks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meeting sales targets (low conversion, low AOV, or low repeat rate) is a high risk. Mitigations include conservative forecasting (approximately 324 Afghan e‑commerce stores), a 5,000 USD reserve providing six months of lean runway, weekly analytics to adjust inventory and marketing, adjustable free-shipping thresholds (65–75 USD), and lean operations with no founder salaries.</w:t>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Cultural and Social Risks</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Restrictions on women and social stigma pose high risk. Mitigations include leveraging female founders to build trust with women customers, assigning male founders to all public-facing roles, focusing on modest, culturally approved designs, and targeting male students and family buyers purchasing for women.</w:t>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 Operational Risks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outages and courier capacity constraints pose high risk. Mitigations include solar and generator coverage (approximately four hours per day), hiring a second driver at 600 orders per month, and having founders handle fulfillment and customer service during peaks.</w:t>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6.6 Supply Chain Risks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Stranded goods and SME limitations present medium risk. Mitigations include an advisor network providing more than 20 workshop options, weekly inventory checks to predict shortages seven days in advance, and a planned pivot strategy from 75% import to 25% local sourcing as needed.</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 Technology Risks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scalability and security risks arise from WordPress/AppPresser limitations and cybersecurity threats. Mitigations include two technical founders monitoring uptime and security, DigitalOcean autoscaling as traffic grows, daily backups, and SSL protection.</w:t>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6.8. Sales Shortfall Scenario (Worst Case)</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worst-case scenario achieving 50% of projected sales (20,700 USD revenue), fixed costs are 13,200 USD (operations and marketing) and COGS are 9,225 USD. Net cash flow is still approximately +1,500 USD. The business remains cash-positive, and the 5,000 USD reserve extends survival to more than 12 months.</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Final Conclusion</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its adaptable, lean, and financially viable strategy customized for Afghanistan’s market conditions, the proposed online clothing e-commerce platform in Kabul offers an attractive investment opportunity. With a 50,000 USD initial investment, the project is expected to achieve a 17.1% net profit margin in Year 1, reach operational break-even by Month 2, and fully recover the initial capital in approximately 14.8 months (AfterShip, 2025; ReelMind, 2025). To ensure strong supply chains, solid profit margins, and support for women-led small businesses, the company relies on a combination of imports (75%) and local SME sourcing (25%; Faqiri et al., 2019; Salam Watandar, 2024). Its affordable digital-first marketing approach, safe payment methods, and dependable delivery services directly address gaps in Afghanistan’s fragmented clothing market (Sale.af, 2025; Lloyds Bank Trade Portal, 2025).</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business should attract investors because it uses a lean, founder-led approach with low overhead, ensuring effective capital use and rapid growth; demonstrates realistic, data-based financial estimates with risk mitigation strategies for power failures, border closures, political instability, and sales fluctuations (ACAPS, 2025; Council on Foreign Relations, 2025); leverages the expanding youth-driven e-commerce sector, with monthly website traffic projected to grow from 2,000 to 10,000 within six months and repeat purchase rates anticipated to reach 25% (DataReportal, 2025; AfterShip, 2025); and promotes a resilient sourcing strategy that combines cutting-edge imports with regional SMEs to improve market flexibility and community engagement (Salam Watandar, 2024).</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the potential to create significant social and economic advantages in Afghanistan, such as job creation (direct employment of a retail advisor and delivery personnel and indirect support for local clothing producers and women-led small businesses), empowering women through distant digital roles and collaborations with female entrepreneurs despite restrictive policies (Human Rights Watch, 2025; UK Government, 2025), and market development through increased digital adoption, e-commerce literacy, and access to contemporary, culturally appropriate clothing for Afghan youth (DataReportal, 2025; 6Wresearch, 2025). It also contributes to economic stimulation by supporting regional SMEs, strengthening supply networks, and channeling investment into Afghanistan’s retail and textile industries, enhancing overall economic resilience (Kardan.edu.af, 2019). By empowering local populations, filling market gaps, and fostering sustainable digital commerce in Afghanistan, this project offers both substantial financial returns and meaningful social and economic impact, making it a highly attractive investment opportunity.</w:t>
      </w:r>
    </w:p>
    <w:p w:rsidR="00000000" w:rsidDel="00000000" w:rsidP="00000000" w:rsidRDefault="00000000" w:rsidRPr="00000000" w14:paraId="0000009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ACAPS. (2025).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Afghanistan political landscape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6">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https://www.acaps.org/en/countries/afghanistan</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AfterShip. (2025).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E-commerce statistics in Afghanistan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7">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https://www.aftership.com</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Council on Foreign Relations. (2025).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Instability in Afghanistan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8">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https://www.cfr.org/global-conflict-tracker/conflict/war-afghanistan</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DataReportal. (2025).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Digital 2025: Afghanistan — Global digital insights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9">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https://datareportal.com/reports/digital-2025-afghanistan</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Faqiri, M., Shams, M. S., &amp; Gul, S. (2019). Small and medium enterprises in the garment sector of Afghanistan: Challenges and prospects.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Kardan Journal of Economics and Management Sciences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10">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https://kardan.edu.af</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GlobalPetrolPrices.com. (2025).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Afghanistan gasoline prices (01 Dec 2025)</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11">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https://www.globalpetrolprices.com/Afghanistan/gasoline_prices/</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Human Rights Watch. (2025).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World report 2025: Afghanistan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12">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https://www.hrw.org/world-report/2025/country-chapters/afghanistan</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Kardan.edu.af. (2019).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Small and medium enterprises in the garment sector of Afghanistan: Challenges and prospects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13">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https://kardan.edu.af</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Lloyds Bank Trade Portal. (2025).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E-commerce in Afghanistan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14">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https://www.lloydsbanktrade.com</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Moore Afghanistan. (n.d.).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Guide 04: Tax overview for businesses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15">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https://afghanistan.moore-global.com/MediaLibsAndFiles/media/afghanistan.moore-global.com/Documents/Tax/Guide-04-Tax-Overview-for-Businesses.pdf</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Mozamil, N. A. (n.d.).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How to register your business license in Afghanistan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LinkedIn. </w:t>
      </w:r>
      <w:hyperlink r:id="rId16">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https://www.linkedin.com/pulse/haw-register-your-business-license-afghanistan-nesar-ahmad-mozamil</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ReelMind. (2025).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Ecommerce in Afghanistan: AI-driven analysis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17">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https://reelmind.ai/blog/ecommerce-in-afghanistan-ai-driven-market-analysis</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Republic of Turkey Ministry of Trade. (2020).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Customs fees and charges: Additional taxes and duties levied in Afghanistan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18">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https://ticaret.gov.tr/data/5ee87d7713b87603d40acbd2/Ek-3%20Afganistan%20G%C3%BCmr%C3%BCklerinde%20Tahsil%20Edilen%20%C4%B0lave%20Vergi%20ve%20Har%C3%A7lar.pdf</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Sale.af. (2025).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Afghanistan online stores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19">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https://sale.af</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Salam Watandar. (2024).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Exclusive: Youngsters seeking balance between modern and traditional lifestyles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20">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https://salamwatandar.com</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6Wresearch. (2025).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Afghanistan fashion e-commerce market (2025–2031): Trends, outlook, and forecast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21">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https://6wresearch.com</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UK Government. (2025).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Fear of the Taliban: Afghanistan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22">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https://www.gov.uk/government/publications/afghanistan-country-policy-and-information-notes</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 News. (2025).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UN calls on Taliban to end repressive policies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23">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https://news.un.org/en/story/2025/07/1165342</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Unihost. (2025a).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E-commerce hosting cost guide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24">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https://unihost.com/blog/ecommerce-hosting-cost-complete-guide-2025/</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28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Unihost. (2025b).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How much does e-commerce hosting cost: Complete guide 2025</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r:id="rId25">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https://unihost.com/blog/ecommerce-hosting-cost-complete-guide-2025/</w:t>
        </w:r>
      </w:hyperlink>
      <w:r w:rsidDel="00000000" w:rsidR="00000000" w:rsidRPr="00000000">
        <w:rPr>
          <w:rtl w:val="0"/>
        </w:rPr>
      </w:r>
    </w:p>
    <w:p w:rsidR="00000000" w:rsidDel="00000000" w:rsidP="00000000" w:rsidRDefault="00000000" w:rsidRPr="00000000" w14:paraId="000000B0">
      <w:pPr>
        <w:ind w:hanging="284"/>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ind w:left="284" w:hanging="284"/>
        <w:rPr>
          <w:rFonts w:ascii="Times New Roman" w:cs="Times New Roman" w:eastAsia="Times New Roman" w:hAnsi="Times New Roman"/>
          <w:sz w:val="24"/>
          <w:szCs w:val="24"/>
        </w:rPr>
      </w:pPr>
      <w:r w:rsidDel="00000000" w:rsidR="00000000" w:rsidRPr="00000000">
        <w:rPr>
          <w:rtl w:val="0"/>
        </w:rPr>
      </w:r>
    </w:p>
    <w:sectPr>
      <w:head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DE"/>
      </w:rPr>
    </w:rPrDefault>
    <w:pPrDefault>
      <w:pPr>
        <w:spacing w:after="16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alamwatandar.com/" TargetMode="External"/><Relationship Id="rId22" Type="http://schemas.openxmlformats.org/officeDocument/2006/relationships/hyperlink" Target="https://www.gov.uk/government/publications/afghanistan-country-policy-and-information-notes" TargetMode="External"/><Relationship Id="rId21" Type="http://schemas.openxmlformats.org/officeDocument/2006/relationships/hyperlink" Target="https://6wresearch.com/" TargetMode="External"/><Relationship Id="rId24" Type="http://schemas.openxmlformats.org/officeDocument/2006/relationships/hyperlink" Target="https://unihost.com/blog/ecommerce-hosting-cost-complete-guide-2025/" TargetMode="External"/><Relationship Id="rId23" Type="http://schemas.openxmlformats.org/officeDocument/2006/relationships/hyperlink" Target="https://news.un.org/en/story/2025/07/11653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reportal.com/reports/digital-2025-afghanistan" TargetMode="External"/><Relationship Id="rId26" Type="http://schemas.openxmlformats.org/officeDocument/2006/relationships/header" Target="header1.xml"/><Relationship Id="rId25" Type="http://schemas.openxmlformats.org/officeDocument/2006/relationships/hyperlink" Target="https://unihost.com/blog/ecommerce-hosting-cost-complete-guide-2025/" TargetMode="External"/><Relationship Id="rId5" Type="http://schemas.openxmlformats.org/officeDocument/2006/relationships/styles" Target="styles.xml"/><Relationship Id="rId6" Type="http://schemas.openxmlformats.org/officeDocument/2006/relationships/hyperlink" Target="https://www.acaps.org/en/countries/afghanistan" TargetMode="External"/><Relationship Id="rId7" Type="http://schemas.openxmlformats.org/officeDocument/2006/relationships/hyperlink" Target="https://www.aftership.com/" TargetMode="External"/><Relationship Id="rId8" Type="http://schemas.openxmlformats.org/officeDocument/2006/relationships/hyperlink" Target="https://www.cfr.org/global-conflict-tracker/conflict/war-afghanistan" TargetMode="External"/><Relationship Id="rId11" Type="http://schemas.openxmlformats.org/officeDocument/2006/relationships/hyperlink" Target="https://www.globalpetrolprices.com/Afghanistan/gasoline_prices/" TargetMode="External"/><Relationship Id="rId10" Type="http://schemas.openxmlformats.org/officeDocument/2006/relationships/hyperlink" Target="https://kardan.edu.af/" TargetMode="External"/><Relationship Id="rId13" Type="http://schemas.openxmlformats.org/officeDocument/2006/relationships/hyperlink" Target="https://kardan.edu.af/" TargetMode="External"/><Relationship Id="rId12" Type="http://schemas.openxmlformats.org/officeDocument/2006/relationships/hyperlink" Target="https://www.hrw.org/world-report/2025/country-chapters/afghanistan" TargetMode="External"/><Relationship Id="rId15" Type="http://schemas.openxmlformats.org/officeDocument/2006/relationships/hyperlink" Target="https://afghanistan.moore-global.com/MediaLibsAndFiles/media/afghanistan.moore-global.com/Documents/Tax/Guide-04-Tax-Overview-for-Businesses.pdf" TargetMode="External"/><Relationship Id="rId14" Type="http://schemas.openxmlformats.org/officeDocument/2006/relationships/hyperlink" Target="https://www.lloydsbanktrade.com/" TargetMode="External"/><Relationship Id="rId17" Type="http://schemas.openxmlformats.org/officeDocument/2006/relationships/hyperlink" Target="https://reelmind.ai/blog/ecommerce-in-afghanistan-ai-driven-market-analysis" TargetMode="External"/><Relationship Id="rId16" Type="http://schemas.openxmlformats.org/officeDocument/2006/relationships/hyperlink" Target="https://www.linkedin.com/pulse/haw-register-your-business-license-afghanistan-nesar-ahmad-mozamil" TargetMode="External"/><Relationship Id="rId19" Type="http://schemas.openxmlformats.org/officeDocument/2006/relationships/hyperlink" Target="https://sale.af/" TargetMode="External"/><Relationship Id="rId18" Type="http://schemas.openxmlformats.org/officeDocument/2006/relationships/hyperlink" Target="https://ticaret.gov.tr/data/5ee87d7713b87603d40acbd2/Ek-3%20Afganistan%20G%C3%BCmr%C3%BCklerinde%20Tahsil%20Edilen%20%C4%B0lave%20Vergi%20ve%20Har%C3%A7la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