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ascii="Times New Roman" w:hAnsi="Times New Roman"/>
          <w:b/>
          <w:sz w:val="32"/>
        </w:rPr>
        <w:t xml:space="preserve">SIMATS ENGINEERING</w:t>
        <w:br/>
      </w:r>
      <w:r>
        <w:rPr>
          <w:b/>
          <w:sz w:val="28"/>
        </w:rPr>
        <w:t xml:space="preserve">ECA5603 – 5G/6G COMMUNICATION SYSTEMS</w:t>
        <w:br/>
      </w:r>
      <w:r/>
    </w:p>
    <w:p>
      <w:pPr>
        <w:pBdr/>
        <w:spacing/>
        <w:ind/>
        <w:jc w:val="center"/>
        <w:rPr/>
      </w:pPr>
      <w:r>
        <w:rPr>
          <w:b/>
          <w:sz w:val="28"/>
        </w:rPr>
        <w:t xml:space="preserve">CO1 INTEGRATED ENGINEERING ANALYSIS AND PLANNING ASSIGNMENT</w:t>
      </w:r>
      <w:r/>
    </w:p>
    <w:p>
      <w:pPr>
        <w:pBdr/>
        <w:spacing/>
        <w:ind/>
        <w:jc w:val="center"/>
        <w:rPr/>
      </w:pPr>
      <w:r>
        <w:rPr>
          <w:i/>
        </w:rPr>
        <w:t xml:space="preserve">Evolution, Cellular Planning, Spectrum Use and Interference Management</w:t>
      </w:r>
      <w:r/>
    </w:p>
    <w:p>
      <w:pPr>
        <w:pBdr/>
        <w:spacing/>
        <w:ind/>
        <w:rPr/>
      </w:pPr>
      <w:r>
        <w:br/>
      </w:r>
      <w:r/>
    </w:p>
    <w:tbl>
      <w:tblPr>
        <w:jc w:val="center"/>
        <w:tblW w:w="0" w:type="auto"/>
        <w:tblBorders/>
        <w:tblLayout w:type="fixed"/>
        <w:tblLook w:val="04A0" w:firstRow="1" w:lastRow="0" w:firstColumn="1" w:lastColumn="0" w:noHBand="0" w:noVBand="1"/>
      </w:tblPr>
      <w:tblGrid>
        <w:gridCol w:w="3169"/>
        <w:gridCol w:w="6338"/>
      </w:tblGrid>
      <w:tr>
        <w:trPr>
          <w:trHeight w:val="743"/>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169" w:type="dxa"/>
            <w:vAlign w:val="center"/>
          </w:tcPr>
          <w:p>
            <w:pPr>
              <w:pBdr/>
              <w:spacing w:after="40" w:before="40"/>
              <w:ind/>
              <w:rPr/>
            </w:pPr>
            <w:r>
              <w:rPr>
                <w:rFonts w:ascii="Times New Roman" w:hAnsi="Times New Roman" w:eastAsia="Times New Roman"/>
                <w:sz w:val="24"/>
              </w:rPr>
              <w:t xml:space="preserve">Student details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6338" w:type="dxa"/>
            <w:vAlign w:val="center"/>
          </w:tcPr>
          <w:p>
            <w:pPr>
              <w:pBdr/>
              <w:spacing w:after="40" w:before="40"/>
              <w:ind/>
              <w:rPr/>
            </w:pPr>
            <w:r>
              <w:rPr>
                <w:rFonts w:ascii="Times New Roman" w:hAnsi="Times New Roman" w:eastAsia="Times New Roman"/>
                <w:sz w:val="24"/>
              </w:rPr>
              <w:t xml:space="preserve">Information</w:t>
            </w:r>
            <w:r/>
          </w:p>
        </w:tc>
      </w:tr>
      <w:tr>
        <w:trPr>
          <w:trHeight w:val="743"/>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169" w:type="dxa"/>
            <w:vAlign w:val="center"/>
          </w:tcPr>
          <w:p>
            <w:pPr>
              <w:pBdr/>
              <w:spacing w:after="40" w:before="40"/>
              <w:ind/>
              <w:rPr/>
            </w:pPr>
            <w:r>
              <w:rPr>
                <w:rFonts w:ascii="Times New Roman" w:hAnsi="Times New Roman" w:eastAsia="Times New Roman"/>
                <w:sz w:val="24"/>
              </w:rPr>
              <w:t xml:space="preserve">Name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6338" w:type="dxa"/>
            <w:vAlign w:val="center"/>
          </w:tcPr>
          <w:p>
            <w:pPr>
              <w:pBdr/>
              <w:spacing w:after="40" w:before="40"/>
              <w:ind/>
              <w:rPr/>
            </w:pPr>
            <w:r>
              <w:rPr>
                <w:rFonts w:ascii="Times New Roman" w:hAnsi="Times New Roman" w:eastAsia="Times New Roman"/>
                <w:sz w:val="24"/>
              </w:rPr>
              <w:t xml:space="preserve">Mohamed Affan</w:t>
            </w:r>
            <w:r/>
          </w:p>
        </w:tc>
      </w:tr>
      <w:tr>
        <w:trPr>
          <w:trHeight w:val="743"/>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169" w:type="dxa"/>
            <w:vAlign w:val="center"/>
          </w:tcPr>
          <w:p>
            <w:pPr>
              <w:pBdr/>
              <w:spacing w:after="40" w:before="40"/>
              <w:ind/>
              <w:rPr/>
            </w:pPr>
            <w:r>
              <w:rPr>
                <w:rFonts w:ascii="Times New Roman" w:hAnsi="Times New Roman" w:eastAsia="Times New Roman"/>
                <w:sz w:val="24"/>
              </w:rPr>
              <w:t xml:space="preserve">Register Number</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6338" w:type="dxa"/>
            <w:vAlign w:val="center"/>
          </w:tcPr>
          <w:p>
            <w:pPr>
              <w:pBdr/>
              <w:spacing w:after="40" w:before="40"/>
              <w:ind/>
              <w:rPr/>
            </w:pPr>
            <w:r>
              <w:rPr>
                <w:rFonts w:ascii="Times New Roman" w:hAnsi="Times New Roman" w:eastAsia="Times New Roman"/>
                <w:sz w:val="24"/>
              </w:rPr>
              <w:t xml:space="preserve">192512365</w:t>
            </w:r>
            <w:r/>
          </w:p>
        </w:tc>
      </w:tr>
      <w:tr>
        <w:trPr>
          <w:trHeight w:val="743"/>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169" w:type="dxa"/>
            <w:vAlign w:val="center"/>
          </w:tcPr>
          <w:p>
            <w:pPr>
              <w:pBdr/>
              <w:spacing w:after="40" w:before="40"/>
              <w:ind/>
              <w:rPr/>
            </w:pPr>
            <w:r>
              <w:rPr>
                <w:rFonts w:ascii="Times New Roman" w:hAnsi="Times New Roman" w:eastAsia="Times New Roman"/>
                <w:sz w:val="24"/>
              </w:rPr>
              <w:t xml:space="preserve">Faculty</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6338" w:type="dxa"/>
            <w:vAlign w:val="center"/>
          </w:tcPr>
          <w:p>
            <w:pPr>
              <w:pBdr/>
              <w:spacing w:after="40" w:before="40"/>
              <w:ind/>
              <w:rPr/>
            </w:pPr>
            <w:r>
              <w:rPr>
                <w:rFonts w:ascii="Times New Roman" w:hAnsi="Times New Roman" w:eastAsia="Times New Roman"/>
                <w:sz w:val="24"/>
              </w:rPr>
              <w:t xml:space="preserve">Kalaiarasi K</w:t>
            </w:r>
            <w:r/>
          </w:p>
        </w:tc>
      </w:tr>
      <w:tr>
        <w:trPr>
          <w:trHeight w:val="743"/>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169" w:type="dxa"/>
            <w:vAlign w:val="center"/>
          </w:tcPr>
          <w:p>
            <w:pPr>
              <w:pBdr/>
              <w:spacing w:after="40" w:before="40"/>
              <w:ind/>
              <w:rPr/>
            </w:pPr>
            <w:r>
              <w:rPr>
                <w:rFonts w:ascii="Times New Roman" w:hAnsi="Times New Roman" w:eastAsia="Times New Roman"/>
                <w:sz w:val="24"/>
              </w:rPr>
              <w:t xml:space="preserve">Course Code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6338" w:type="dxa"/>
            <w:vAlign w:val="center"/>
          </w:tcPr>
          <w:p>
            <w:pPr>
              <w:pBdr/>
              <w:spacing w:after="40" w:before="40"/>
              <w:ind/>
              <w:rPr/>
            </w:pPr>
            <w:r>
              <w:rPr>
                <w:rFonts w:ascii="Times New Roman" w:hAnsi="Times New Roman" w:eastAsia="Times New Roman"/>
                <w:sz w:val="24"/>
              </w:rPr>
              <w:t xml:space="preserve">ECA5603</w:t>
            </w:r>
            <w:r/>
          </w:p>
        </w:tc>
      </w:tr>
      <w:tr>
        <w:trPr>
          <w:trHeight w:val="743"/>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169" w:type="dxa"/>
            <w:vAlign w:val="center"/>
          </w:tcPr>
          <w:p>
            <w:pPr>
              <w:pBdr/>
              <w:spacing w:after="40" w:before="40"/>
              <w:ind/>
              <w:rPr/>
            </w:pPr>
            <w:r>
              <w:rPr>
                <w:rFonts w:ascii="Times New Roman" w:hAnsi="Times New Roman" w:eastAsia="Times New Roman"/>
                <w:sz w:val="24"/>
              </w:rPr>
              <w:t xml:space="preserve">Course Title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6338" w:type="dxa"/>
            <w:vAlign w:val="center"/>
          </w:tcPr>
          <w:p>
            <w:pPr>
              <w:pBdr/>
              <w:spacing w:after="40" w:before="40"/>
              <w:ind/>
              <w:rPr/>
            </w:pPr>
            <w:r>
              <w:rPr>
                <w:rFonts w:ascii="Times New Roman" w:hAnsi="Times New Roman" w:eastAsia="Times New Roman"/>
                <w:sz w:val="24"/>
              </w:rPr>
              <w:t xml:space="preserve">5G/6G Communication Systems</w:t>
            </w:r>
            <w:r/>
          </w:p>
        </w:tc>
      </w:tr>
      <w:tr>
        <w:trPr>
          <w:trHeight w:val="1326"/>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169" w:type="dxa"/>
            <w:vAlign w:val="center"/>
          </w:tcPr>
          <w:p>
            <w:pPr>
              <w:pBdr/>
              <w:spacing w:after="40" w:before="40"/>
              <w:ind/>
              <w:rPr/>
            </w:pPr>
            <w:r>
              <w:rPr>
                <w:rFonts w:ascii="Times New Roman" w:hAnsi="Times New Roman" w:eastAsia="Times New Roman"/>
                <w:sz w:val="24"/>
              </w:rPr>
              <w:t xml:space="preserve">Assignment</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6338" w:type="dxa"/>
            <w:vAlign w:val="center"/>
          </w:tcPr>
          <w:p>
            <w:pPr>
              <w:pBdr/>
              <w:spacing w:after="40" w:before="40"/>
              <w:ind/>
              <w:rPr/>
            </w:pPr>
            <w:r>
              <w:rPr>
                <w:rFonts w:ascii="Times New Roman" w:hAnsi="Times New Roman" w:eastAsia="Times New Roman"/>
                <w:sz w:val="24"/>
              </w:rPr>
              <w:t xml:space="preserve">CO1 Integrated Engineering Analysis and Planning Assignment</w:t>
            </w:r>
            <w:r/>
          </w:p>
        </w:tc>
      </w:tr>
    </w:tbl>
    <w:p>
      <w:pPr>
        <w:pBdr/>
        <w:spacing/>
        <w:ind/>
        <w:rPr/>
      </w:pPr>
      <w:r/>
      <w:r/>
    </w:p>
    <w:p>
      <w:pPr>
        <w:pBdr/>
        <w:spacing/>
        <w:ind/>
        <w:rPr/>
      </w:pPr>
      <w:r>
        <w:br w:type="page" w:clear="all"/>
      </w:r>
      <w:r/>
    </w:p>
    <w:p>
      <w:pPr>
        <w:pStyle w:val="705"/>
        <w:pBdr/>
        <w:spacing/>
        <w:ind/>
        <w:rPr/>
      </w:pPr>
      <w:r>
        <w:t xml:space="preserve">Abstract</w:t>
      </w:r>
      <w:r/>
    </w:p>
    <w:p>
      <w:pPr>
        <w:pBdr/>
        <w:spacing/>
        <w:ind/>
        <w:jc w:val="both"/>
        <w:rPr/>
      </w:pPr>
      <w:r>
        <w:t xml:space="preserve">This report analyzes a regional mobile network using the supplied planning values: a hexagonal cell radius of 2 km, a 19-cell planning cluster, reuse cluster size N = 7, 1,000 subscribers generating</w:t>
      </w:r>
      <w:r>
        <w:t xml:space="preserve"> 0.08 Erlang each, an initial 100-channel base station, and a blocking target of 2%. It compares mobile generations from 1G to the 6G vision, estimates cell geometry and reuse, evaluates Erlang-B traffic capacity, examines handoff behavior, calculates inte</w:t>
      </w:r>
      <w:r>
        <w:t xml:space="preserve">rference and free-space path loss, and proposes a phased deployment strategy. Calculations are idealized planning estimates; final engineering requires measured propagation, actual spectrum assignments, traffic distributions, and site-level radio planning.</w:t>
      </w:r>
      <w:r/>
    </w:p>
    <w:p>
      <w:pPr>
        <w:pStyle w:val="705"/>
        <w:pBdr/>
        <w:spacing/>
        <w:ind/>
        <w:rPr/>
      </w:pPr>
      <w:r>
        <w:t xml:space="preserve">1. Introduction and problem definition</w:t>
      </w:r>
      <w:r/>
    </w:p>
    <w:p>
      <w:pPr>
        <w:pBdr/>
        <w:spacing/>
        <w:ind/>
        <w:jc w:val="both"/>
        <w:rPr/>
      </w:pPr>
      <w:r>
        <w:t xml:space="preserve">The planning objective is to recommend a practical network evolution path that balances coverage, capacity, service continuity, interference, and deployment c</w:t>
      </w:r>
      <w:r>
        <w:t xml:space="preserve">ost. The network must support conventional mobile broadband as well as delay-sensitive vehicle and industrial applications. The supplied assignment data are treated as the controlling inputs; assumptions introduced for interpretation are stated explicitly.</w:t>
      </w:r>
      <w:r/>
    </w:p>
    <w:p>
      <w:pPr>
        <w:pStyle w:val="705"/>
        <w:pBdr/>
        <w:spacing/>
        <w:ind/>
        <w:rPr/>
      </w:pPr>
      <w:r>
        <w:t xml:space="preserve">1.1 Design requirements</w:t>
      </w:r>
      <w:r/>
    </w:p>
    <w:tbl>
      <w:tblPr>
        <w:jc w:val="center"/>
        <w:tblW w:w="0" w:type="auto"/>
        <w:tblBorders/>
        <w:tblLayout w:type="fixed"/>
        <w:tblLook w:val="04A0" w:firstRow="1" w:lastRow="0" w:firstColumn="1" w:lastColumn="0" w:noHBand="0" w:noVBand="1"/>
      </w:tblPr>
      <w:tblGrid>
        <w:gridCol w:w="4680"/>
        <w:gridCol w:w="4680"/>
      </w:tblGrid>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Requirement</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7704" w:type="dxa"/>
            <w:vAlign w:val="center"/>
          </w:tcPr>
          <w:p>
            <w:pPr>
              <w:pBdr/>
              <w:spacing w:after="40" w:before="40"/>
              <w:ind/>
              <w:rPr/>
            </w:pPr>
            <w:r>
              <w:rPr>
                <w:rFonts w:ascii="Times New Roman" w:hAnsi="Times New Roman" w:eastAsia="Times New Roman"/>
                <w:sz w:val="24"/>
              </w:rPr>
              <w:t xml:space="preserve">Engineering interpretation / indicator</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Coverage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7704" w:type="dxa"/>
            <w:vAlign w:val="center"/>
          </w:tcPr>
          <w:p>
            <w:pPr>
              <w:pBdr/>
              <w:spacing w:after="40" w:before="40"/>
              <w:ind/>
              <w:rPr/>
            </w:pPr>
            <w:r>
              <w:rPr>
                <w:rFonts w:ascii="Times New Roman" w:hAnsi="Times New Roman" w:eastAsia="Times New Roman"/>
                <w:sz w:val="24"/>
              </w:rPr>
              <w:t xml:space="preserve">Geometric coverage is a starting estimate; verify radio coverage using field measurements and link budgets.</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Capacity</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7704" w:type="dxa"/>
            <w:vAlign w:val="center"/>
          </w:tcPr>
          <w:p>
            <w:pPr>
              <w:pBdr/>
              <w:spacing w:after="40" w:before="40"/>
              <w:ind/>
              <w:rPr/>
            </w:pPr>
            <w:r>
              <w:rPr>
                <w:rFonts w:ascii="Times New Roman" w:hAnsi="Times New Roman" w:eastAsia="Times New Roman"/>
                <w:sz w:val="24"/>
              </w:rPr>
              <w:t xml:space="preserve">Busy-hour offered traffic = subscribers × Erlang/subscriber; blocking probability target ≤ 2%.</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Mobility</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7704" w:type="dxa"/>
            <w:vAlign w:val="center"/>
          </w:tcPr>
          <w:p>
            <w:pPr>
              <w:pBdr/>
              <w:spacing w:after="40" w:before="40"/>
              <w:ind/>
              <w:rPr/>
            </w:pPr>
            <w:r>
              <w:rPr>
                <w:rFonts w:ascii="Times New Roman" w:hAnsi="Times New Roman" w:eastAsia="Times New Roman"/>
                <w:sz w:val="24"/>
              </w:rPr>
              <w:t xml:space="preserve">Maintain continuity across cells; compare overlap dwell time and handoff interruption.</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Interference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7704" w:type="dxa"/>
            <w:vAlign w:val="center"/>
          </w:tcPr>
          <w:p>
            <w:pPr>
              <w:pBdr/>
              <w:spacing w:after="40" w:before="40"/>
              <w:ind/>
              <w:rPr/>
            </w:pPr>
            <w:r>
              <w:rPr>
                <w:rFonts w:ascii="Times New Roman" w:hAnsi="Times New Roman" w:eastAsia="Times New Roman"/>
                <w:sz w:val="24"/>
              </w:rPr>
              <w:t xml:space="preserve">Check C/I and SINR against the specified 15 dB target.</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Spectrum</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7704" w:type="dxa"/>
            <w:vAlign w:val="center"/>
          </w:tcPr>
          <w:p>
            <w:pPr>
              <w:pBdr/>
              <w:spacing w:after="40" w:before="40"/>
              <w:ind/>
              <w:rPr/>
            </w:pPr>
            <w:r>
              <w:rPr>
                <w:rFonts w:ascii="Times New Roman" w:hAnsi="Times New Roman" w:eastAsia="Times New Roman"/>
                <w:sz w:val="24"/>
              </w:rPr>
              <w:t xml:space="preserve">Compare 900 MHz, 3.5 GHz and 28 GHz at 100 m using the given free-space model.</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Evolution</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7704" w:type="dxa"/>
            <w:vAlign w:val="center"/>
          </w:tcPr>
          <w:p>
            <w:pPr>
              <w:pBdr/>
              <w:spacing w:after="40" w:before="40"/>
              <w:ind/>
              <w:rPr/>
            </w:pPr>
            <w:r>
              <w:rPr>
                <w:rFonts w:ascii="Times New Roman" w:hAnsi="Times New Roman" w:eastAsia="Times New Roman"/>
                <w:sz w:val="24"/>
              </w:rPr>
              <w:t xml:space="preserve">Preserve a migration path from current 5G NR capability to emerging 6G concepts.</w:t>
            </w:r>
            <w:r/>
          </w:p>
        </w:tc>
      </w:tr>
    </w:tbl>
    <w:p>
      <w:pPr>
        <w:pBdr/>
        <w:spacing/>
        <w:ind/>
        <w:rPr/>
      </w:pPr>
      <w:r/>
      <w:r/>
    </w:p>
    <w:p>
      <w:pPr>
        <w:pStyle w:val="705"/>
        <w:pBdr/>
        <w:spacing/>
        <w:ind/>
        <w:rPr/>
      </w:pPr>
      <w:r>
        <w:t xml:space="preserve">1.2 Assumptions and limitations</w:t>
      </w:r>
      <w:r/>
    </w:p>
    <w:p>
      <w:pPr>
        <w:pStyle w:val="735"/>
        <w:pBdr/>
        <w:spacing/>
        <w:ind w:left="360"/>
        <w:rPr/>
      </w:pPr>
      <w:r>
        <w:rPr>
          <w:rFonts w:ascii="Times New Roman" w:hAnsi="Times New Roman"/>
          <w:sz w:val="24"/>
        </w:rPr>
        <w:t xml:space="preserve">Cells are modeled as regular hexagons with radius r = 2 km; real cell boundaries are irregular because of terrain, buildings, antenna patterns and interference.</w:t>
      </w:r>
      <w:r/>
    </w:p>
    <w:p>
      <w:pPr>
        <w:pStyle w:val="735"/>
        <w:pBdr/>
        <w:spacing/>
        <w:ind w:left="360"/>
        <w:rPr/>
      </w:pPr>
      <w:r>
        <w:rPr>
          <w:rFonts w:ascii="Times New Roman" w:hAnsi="Times New Roman"/>
          <w:sz w:val="24"/>
        </w:rPr>
        <w:t xml:space="preserve">The 1,000 subscribers are assumed to offer independent traffic at 0.08 Erlang per subscriber during the busy hour, giving 80 Erlangs total.</w:t>
      </w:r>
      <w:r/>
    </w:p>
    <w:p>
      <w:pPr>
        <w:pStyle w:val="735"/>
        <w:pBdr/>
        <w:spacing/>
        <w:ind w:left="360"/>
        <w:rPr/>
      </w:pPr>
      <w:r>
        <w:rPr>
          <w:rFonts w:ascii="Times New Roman" w:hAnsi="Times New Roman"/>
          <w:sz w:val="24"/>
        </w:rPr>
        <w:t xml:space="preserve">Erlang B assumes a loss system with no waiting queue and statistically independent call arrivals/holding times; the calculation is a first-order traffic estimate.</w:t>
      </w:r>
      <w:r/>
    </w:p>
    <w:p>
      <w:pPr>
        <w:pStyle w:val="735"/>
        <w:pBdr/>
        <w:spacing/>
        <w:ind w:left="360"/>
        <w:rPr/>
      </w:pPr>
      <w:r>
        <w:rPr>
          <w:rFonts w:ascii="Times New Roman" w:hAnsi="Times New Roman"/>
          <w:sz w:val="24"/>
        </w:rPr>
        <w:t xml:space="preserve">Free-space path loss excludes foliage, walls, shadowing, antenna gains, feeder losses, fading and atmospheric effects.</w:t>
      </w:r>
      <w:r/>
    </w:p>
    <w:p>
      <w:pPr>
        <w:pStyle w:val="735"/>
        <w:pBdr/>
        <w:spacing/>
        <w:ind w:left="360"/>
        <w:rPr/>
      </w:pPr>
      <w:r>
        <w:rPr>
          <w:rFonts w:ascii="Times New Roman" w:hAnsi="Times New Roman"/>
          <w:sz w:val="24"/>
        </w:rPr>
        <w:t xml:space="preserve">For handoff risk, the 1% cell unavailability is treated as an illustrative independent probability at the handoff instant; this is not a complete call-drop model.</w:t>
      </w:r>
      <w:r/>
    </w:p>
    <w:p>
      <w:pPr>
        <w:pStyle w:val="705"/>
        <w:pBdr/>
        <w:spacing/>
        <w:ind/>
        <w:rPr/>
      </w:pPr>
      <w:r>
        <w:t xml:space="preserve">2. Evolution of mobile communication systems</w:t>
      </w:r>
      <w:r/>
    </w:p>
    <w:tbl>
      <w:tblPr>
        <w:jc w:val="center"/>
        <w:tblW w:w="0" w:type="auto"/>
        <w:tblBorders/>
        <w:tblLayout w:type="fixed"/>
        <w:tblLook w:val="04A0" w:firstRow="1" w:lastRow="0" w:firstColumn="1" w:lastColumn="0" w:noHBand="0" w:noVBand="1"/>
      </w:tblPr>
      <w:tblGrid>
        <w:gridCol w:w="2340"/>
        <w:gridCol w:w="2340"/>
        <w:gridCol w:w="2340"/>
        <w:gridCol w:w="2340"/>
      </w:tblGrid>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008" w:type="dxa"/>
            <w:vAlign w:val="center"/>
          </w:tcPr>
          <w:p>
            <w:pPr>
              <w:pBdr/>
              <w:spacing w:after="40" w:before="40"/>
              <w:ind/>
              <w:rPr/>
            </w:pPr>
            <w:r>
              <w:rPr>
                <w:rFonts w:ascii="Times New Roman" w:hAnsi="Times New Roman" w:eastAsia="Times New Roman"/>
                <w:sz w:val="24"/>
              </w:rPr>
              <w:t xml:space="preserve">Generation</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376" w:type="dxa"/>
            <w:vAlign w:val="center"/>
          </w:tcPr>
          <w:p>
            <w:pPr>
              <w:pBdr/>
              <w:spacing w:after="40" w:before="40"/>
              <w:ind/>
              <w:rPr/>
            </w:pPr>
            <w:r>
              <w:rPr>
                <w:rFonts w:ascii="Times New Roman" w:hAnsi="Times New Roman" w:eastAsia="Times New Roman"/>
                <w:sz w:val="24"/>
              </w:rPr>
              <w:t xml:space="preserve">Supplied example / radio method</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376" w:type="dxa"/>
            <w:vAlign w:val="center"/>
          </w:tcPr>
          <w:p>
            <w:pPr>
              <w:pBdr/>
              <w:spacing w:after="40" w:before="40"/>
              <w:ind/>
              <w:rPr/>
            </w:pPr>
            <w:r>
              <w:rPr>
                <w:rFonts w:ascii="Times New Roman" w:hAnsi="Times New Roman" w:eastAsia="Times New Roman"/>
                <w:sz w:val="24"/>
              </w:rPr>
              <w:t xml:space="preserve">Main service or change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Limitation / engineering implication</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008" w:type="dxa"/>
            <w:vAlign w:val="center"/>
          </w:tcPr>
          <w:p>
            <w:pPr>
              <w:pBdr/>
              <w:spacing w:after="40" w:before="40"/>
              <w:ind/>
              <w:rPr/>
            </w:pPr>
            <w:r>
              <w:rPr>
                <w:rFonts w:ascii="Times New Roman" w:hAnsi="Times New Roman" w:eastAsia="Times New Roman"/>
                <w:sz w:val="24"/>
              </w:rPr>
              <w:t xml:space="preserve">1G</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376" w:type="dxa"/>
            <w:vAlign w:val="center"/>
          </w:tcPr>
          <w:p>
            <w:pPr>
              <w:pBdr/>
              <w:spacing w:after="40" w:before="40"/>
              <w:ind/>
              <w:rPr/>
            </w:pPr>
            <w:r>
              <w:rPr>
                <w:rFonts w:ascii="Times New Roman" w:hAnsi="Times New Roman" w:eastAsia="Times New Roman"/>
                <w:sz w:val="24"/>
              </w:rPr>
              <w:t xml:space="preserve">AMPS, 800 MHz; analog FDMA, 30 kHz channels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376" w:type="dxa"/>
            <w:vAlign w:val="center"/>
          </w:tcPr>
          <w:p>
            <w:pPr>
              <w:pBdr/>
              <w:spacing w:after="40" w:before="40"/>
              <w:ind/>
              <w:rPr/>
            </w:pPr>
            <w:r>
              <w:rPr>
                <w:rFonts w:ascii="Times New Roman" w:hAnsi="Times New Roman" w:eastAsia="Times New Roman"/>
                <w:sz w:val="24"/>
              </w:rPr>
              <w:t xml:space="preserve">Basic analog voice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Limited capacity and privacy; frequency reuse and interference constrain service.</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008" w:type="dxa"/>
            <w:vAlign w:val="center"/>
          </w:tcPr>
          <w:p>
            <w:pPr>
              <w:pBdr/>
              <w:spacing w:after="40" w:before="40"/>
              <w:ind/>
              <w:rPr/>
            </w:pPr>
            <w:r>
              <w:rPr>
                <w:rFonts w:ascii="Times New Roman" w:hAnsi="Times New Roman" w:eastAsia="Times New Roman"/>
                <w:sz w:val="24"/>
              </w:rPr>
              <w:t xml:space="preserve">2G</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376" w:type="dxa"/>
            <w:vAlign w:val="center"/>
          </w:tcPr>
          <w:p>
            <w:pPr>
              <w:pBdr/>
              <w:spacing w:after="40" w:before="40"/>
              <w:ind/>
              <w:rPr/>
            </w:pPr>
            <w:r>
              <w:rPr>
                <w:rFonts w:ascii="Times New Roman" w:hAnsi="Times New Roman" w:eastAsia="Times New Roman"/>
                <w:sz w:val="24"/>
              </w:rPr>
              <w:t xml:space="preserve">GSM, 900 MHz; 200 kHz carrier with 8 TDMA slots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376" w:type="dxa"/>
            <w:vAlign w:val="center"/>
          </w:tcPr>
          <w:p>
            <w:pPr>
              <w:pBdr/>
              <w:spacing w:after="40" w:before="40"/>
              <w:ind/>
              <w:rPr/>
            </w:pPr>
            <w:r>
              <w:rPr>
                <w:rFonts w:ascii="Times New Roman" w:hAnsi="Times New Roman" w:eastAsia="Times New Roman"/>
                <w:sz w:val="24"/>
              </w:rPr>
              <w:t xml:space="preserve">Digital voice and improved spectrum use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Digital scheduling improves capacity, but data rates and latency remain limited.</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008" w:type="dxa"/>
            <w:vAlign w:val="center"/>
          </w:tcPr>
          <w:p>
            <w:pPr>
              <w:pBdr/>
              <w:spacing w:after="40" w:before="40"/>
              <w:ind/>
              <w:rPr/>
            </w:pPr>
            <w:r>
              <w:rPr>
                <w:rFonts w:ascii="Times New Roman" w:hAnsi="Times New Roman" w:eastAsia="Times New Roman"/>
                <w:sz w:val="24"/>
              </w:rPr>
              <w:t xml:space="preserve">3G</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376" w:type="dxa"/>
            <w:vAlign w:val="center"/>
          </w:tcPr>
          <w:p>
            <w:pPr>
              <w:pBdr/>
              <w:spacing w:after="40" w:before="40"/>
              <w:ind/>
              <w:rPr/>
            </w:pPr>
            <w:r>
              <w:rPr>
                <w:rFonts w:ascii="Times New Roman" w:hAnsi="Times New Roman" w:eastAsia="Times New Roman"/>
                <w:sz w:val="24"/>
              </w:rPr>
              <w:t xml:space="preserve">UMTS, 5 MHz carrier</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376" w:type="dxa"/>
            <w:vAlign w:val="center"/>
          </w:tcPr>
          <w:p>
            <w:pPr>
              <w:pBdr/>
              <w:spacing w:after="40" w:before="40"/>
              <w:ind/>
              <w:rPr/>
            </w:pPr>
            <w:r>
              <w:rPr>
                <w:rFonts w:ascii="Times New Roman" w:hAnsi="Times New Roman" w:eastAsia="Times New Roman"/>
                <w:sz w:val="24"/>
              </w:rPr>
              <w:t xml:space="preserve">Mobile data and multimedia</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Higher data demand required improved spectral efficiency and packet services.</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008" w:type="dxa"/>
            <w:vAlign w:val="center"/>
          </w:tcPr>
          <w:p>
            <w:pPr>
              <w:pBdr/>
              <w:spacing w:after="40" w:before="40"/>
              <w:ind/>
              <w:rPr/>
            </w:pPr>
            <w:r>
              <w:rPr>
                <w:rFonts w:ascii="Times New Roman" w:hAnsi="Times New Roman" w:eastAsia="Times New Roman"/>
                <w:sz w:val="24"/>
              </w:rPr>
              <w:t xml:space="preserve">4G</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376" w:type="dxa"/>
            <w:vAlign w:val="center"/>
          </w:tcPr>
          <w:p>
            <w:pPr>
              <w:pBdr/>
              <w:spacing w:after="40" w:before="40"/>
              <w:ind/>
              <w:rPr/>
            </w:pPr>
            <w:r>
              <w:rPr>
                <w:rFonts w:ascii="Times New Roman" w:hAnsi="Times New Roman" w:eastAsia="Times New Roman"/>
                <w:sz w:val="24"/>
              </w:rPr>
              <w:t xml:space="preserve">LTE; OFDMA and MIMO</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376" w:type="dxa"/>
            <w:vAlign w:val="center"/>
          </w:tcPr>
          <w:p>
            <w:pPr>
              <w:pBdr/>
              <w:spacing w:after="40" w:before="40"/>
              <w:ind/>
              <w:rPr/>
            </w:pPr>
            <w:r>
              <w:rPr>
                <w:rFonts w:ascii="Times New Roman" w:hAnsi="Times New Roman" w:eastAsia="Times New Roman"/>
                <w:sz w:val="24"/>
              </w:rPr>
              <w:t xml:space="preserve">Broadband IP services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Capacity depends on bandwidth, spatial multiplexing, scheduling and radio conditions.</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008" w:type="dxa"/>
            <w:vAlign w:val="center"/>
          </w:tcPr>
          <w:p>
            <w:pPr>
              <w:pBdr/>
              <w:spacing w:after="40" w:before="40"/>
              <w:ind/>
              <w:rPr/>
            </w:pPr>
            <w:r>
              <w:rPr>
                <w:rFonts w:ascii="Times New Roman" w:hAnsi="Times New Roman" w:eastAsia="Times New Roman"/>
                <w:sz w:val="24"/>
              </w:rPr>
              <w:t xml:space="preserve">5G</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376" w:type="dxa"/>
            <w:vAlign w:val="center"/>
          </w:tcPr>
          <w:p>
            <w:pPr>
              <w:pBdr/>
              <w:spacing w:after="40" w:before="40"/>
              <w:ind/>
              <w:rPr/>
            </w:pPr>
            <w:r>
              <w:rPr>
                <w:rFonts w:ascii="Times New Roman" w:hAnsi="Times New Roman" w:eastAsia="Times New Roman"/>
                <w:sz w:val="24"/>
              </w:rPr>
              <w:t xml:space="preserve">NR; eMBB, URLLC, mMTC; mid-band/mmWave; beamforming</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376" w:type="dxa"/>
            <w:vAlign w:val="center"/>
          </w:tcPr>
          <w:p>
            <w:pPr>
              <w:pBdr/>
              <w:spacing w:after="40" w:before="40"/>
              <w:ind/>
              <w:rPr/>
            </w:pPr>
            <w:r>
              <w:rPr>
                <w:rFonts w:ascii="Times New Roman" w:hAnsi="Times New Roman" w:eastAsia="Times New Roman"/>
                <w:sz w:val="24"/>
              </w:rPr>
              <w:t xml:space="preserve">Broadband, low-latency services and massive IoT</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Different services need differentiated QoS, slicing, dense cells and robust mobility.</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008" w:type="dxa"/>
            <w:vAlign w:val="center"/>
          </w:tcPr>
          <w:p>
            <w:pPr>
              <w:pBdr/>
              <w:spacing w:after="40" w:before="40"/>
              <w:ind/>
              <w:rPr/>
            </w:pPr>
            <w:r>
              <w:rPr>
                <w:rFonts w:ascii="Times New Roman" w:hAnsi="Times New Roman" w:eastAsia="Times New Roman"/>
                <w:sz w:val="24"/>
              </w:rPr>
              <w:t xml:space="preserve">6G vision</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376" w:type="dxa"/>
            <w:vAlign w:val="center"/>
          </w:tcPr>
          <w:p>
            <w:pPr>
              <w:pBdr/>
              <w:spacing w:after="40" w:before="40"/>
              <w:ind/>
              <w:rPr/>
            </w:pPr>
            <w:r>
              <w:rPr>
                <w:rFonts w:ascii="Times New Roman" w:hAnsi="Times New Roman" w:eastAsia="Times New Roman"/>
                <w:sz w:val="24"/>
              </w:rPr>
              <w:t xml:space="preserve">THz, AI-native networking, holographic communication, tactile internet, ISAC</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376" w:type="dxa"/>
            <w:vAlign w:val="center"/>
          </w:tcPr>
          <w:p>
            <w:pPr>
              <w:pBdr/>
              <w:spacing w:after="40" w:before="40"/>
              <w:ind/>
              <w:rPr/>
            </w:pPr>
            <w:r>
              <w:rPr>
                <w:rFonts w:ascii="Times New Roman" w:hAnsi="Times New Roman" w:eastAsia="Times New Roman"/>
                <w:sz w:val="24"/>
              </w:rPr>
              <w:t xml:space="preserve">Potentially integrated sensing and communications with very high data rates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Research vision; spectrum, propagation, hardware, energy and standardization remain open issues.</w:t>
            </w:r>
            <w:r/>
          </w:p>
        </w:tc>
      </w:tr>
    </w:tbl>
    <w:p>
      <w:pPr>
        <w:pBdr/>
        <w:spacing/>
        <w:ind/>
        <w:rPr/>
      </w:pPr>
      <w:r/>
      <w:r/>
    </w:p>
    <w:p>
      <w:pPr>
        <w:pBdr/>
        <w:spacing/>
        <w:ind/>
        <w:rPr/>
      </w:pPr>
      <w:r/>
      <w:r/>
      <w:r/>
      <w:r/>
      <w:r/>
      <w:r/>
      <w:r/>
      <w:r/>
    </w:p>
    <w:p>
      <w:pPr>
        <w:pStyle w:val="706"/>
        <w:pBdr/>
        <w:spacing/>
        <w:ind/>
        <w:rPr/>
      </w:pPr>
      <w:r>
        <w:t xml:space="preserve">2.1 1G wavelength and idealized channel count</w:t>
      </w:r>
      <w:r/>
    </w:p>
    <w:p>
      <w:pPr>
        <w:pBdr/>
        <w:spacing/>
        <w:ind/>
        <w:jc w:val="both"/>
        <w:rPr/>
      </w:pPr>
      <w:r>
        <w:t xml:space="preserve">Wavelength is λ = c/f. At f = 800 MHz, λ = (3 × 10⁸ m/s)/(800 × 10⁶ Hz) = 0.375 m.</w:t>
      </w:r>
      <w:r/>
    </w:p>
    <w:p>
      <w:pPr>
        <w:pBdr/>
        <w:spacing/>
        <w:ind/>
        <w:jc w:val="both"/>
        <w:rPr/>
      </w:pPr>
      <w:r>
        <w:t xml:space="preserve">Idealized number of 30 kHz channels in 10 MHz = 10,000 kHz / 30 kHz = 333.33, so at most 333 complete 30 kHz channels fit arithmetically.</w:t>
      </w:r>
      <w:r/>
    </w:p>
    <w:p>
      <w:pPr>
        <w:pBdr/>
        <w:spacing/>
        <w:ind/>
        <w:jc w:val="both"/>
        <w:rPr/>
      </w:pPr>
      <w:r>
        <w:t xml:space="preserve">This is an idealized count only. It ignores guard bands, duplexing, control/signaling allocations, channel raster constraints and other practical spectrum overheads, as required to be stated in the assignment. Actual usable traffic-channel count is lower.</w:t>
      </w:r>
      <w:r/>
    </w:p>
    <w:p>
      <w:pPr>
        <w:pBdr/>
        <w:spacing/>
        <w:ind/>
        <w:jc w:val="both"/>
        <w:rPr/>
      </w:pPr>
      <w:r>
        <w:t xml:space="preserve">In GSM, the 200 kHz carri</w:t>
      </w:r>
      <w:r>
        <w:t xml:space="preserve">er is divided into eight TDMA time slots. This digital time-sharing and digital processing improve resource use and service capabilities relative to analog 1G, although real network capacity also depends on coding, reuse, control channels and interference.</w:t>
      </w:r>
      <w:r/>
    </w:p>
    <w:p>
      <w:pPr>
        <w:pStyle w:val="705"/>
        <w:pBdr/>
        <w:spacing/>
        <w:ind/>
        <w:rPr/>
      </w:pPr>
      <w:r>
        <w:t xml:space="preserve">3. Cell coverage and frequency reuse</w:t>
      </w:r>
      <w:r/>
    </w:p>
    <w:p>
      <w:pPr>
        <w:pStyle w:val="706"/>
        <w:pBdr/>
        <w:spacing/>
        <w:ind/>
        <w:rPr/>
      </w:pPr>
      <w:r>
        <w:t xml:space="preserve">3.1 Hexagonal cell area and 19-cell cluster</w:t>
      </w:r>
      <w:r/>
    </w:p>
    <w:p>
      <w:pPr>
        <w:pBdr/>
        <w:spacing/>
        <w:ind/>
        <w:jc w:val="both"/>
        <w:rPr/>
      </w:pPr>
      <w:r>
        <w:t xml:space="preserve">For a regular hexagon with cell radius r (centre-to-vertex), area A = (3√3/2)r². With r = 2 km: A = (3√3/2)(2 km)² = 10.392 km² per cell.</w:t>
      </w:r>
      <w:r/>
    </w:p>
    <w:p>
      <w:pPr>
        <w:pBdr/>
        <w:spacing/>
        <w:ind/>
        <w:jc w:val="both"/>
        <w:rPr/>
      </w:pPr>
      <w:r>
        <w:t xml:space="preserve">For 19 cells, the idealized cluster area is 19 × 10.392 = 197.454 km². This is a geometric sum, not a guarantee that radio service is available everywhere inside that area.</w:t>
      </w:r>
      <w:r/>
    </w:p>
    <w:p>
      <w:pPr>
        <w:pBdr/>
        <w:spacing/>
        <w:ind/>
        <w:rPr/>
      </w:pPr>
      <w:r>
        <mc:AlternateContent>
          <mc:Choice Requires="wpg">
            <w:drawing>
              <wp:inline xmlns:wp="http://schemas.openxmlformats.org/drawingml/2006/wordprocessingDrawing" distT="0" distB="0" distL="0" distR="0">
                <wp:extent cx="4023360" cy="3914621"/>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x_cells.png"/>
                        <pic:cNvPicPr>
                          <a:picLocks noChangeAspect="1"/>
                        </pic:cNvPicPr>
                        <pic:nvPr/>
                      </pic:nvPicPr>
                      <pic:blipFill rotWithShape="1">
                        <a:blip r:embed="rId11"/>
                        <a:stretch/>
                      </pic:blipFill>
                      <pic:spPr bwMode="auto">
                        <a:xfrm>
                          <a:off x="0" y="0"/>
                          <a:ext cx="4023360" cy="39146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16.80pt;height:308.24pt;mso-wrap-distance-left:0.00pt;mso-wrap-distance-top:0.00pt;mso-wrap-distance-right:0.00pt;mso-wrap-distance-bottom:0.00pt;z-index:1;" stroked="false">
                <v:imagedata r:id="rId11" o:title=""/>
                <o:lock v:ext="edit" rotation="t"/>
              </v:shape>
            </w:pict>
          </mc:Fallback>
        </mc:AlternateContent>
      </w:r>
      <w:r/>
    </w:p>
    <w:p>
      <w:pPr>
        <w:pBdr/>
        <w:spacing/>
        <w:ind/>
        <w:jc w:val="center"/>
        <w:rPr/>
      </w:pPr>
      <w:r>
        <w:t xml:space="preserve">Figure 2. Illustrative hexagonal cell geometry; real cell shapes vary with propagation and site layout.</w:t>
      </w:r>
      <w:r/>
    </w:p>
    <w:p>
      <w:pPr>
        <w:pStyle w:val="706"/>
        <w:pBdr/>
        <w:spacing/>
        <w:ind/>
        <w:rPr/>
      </w:pPr>
      <w:r>
        <w:t xml:space="preserve">3.2 Reuse fraction and reuse distance</w:t>
      </w:r>
      <w:r/>
    </w:p>
    <w:p>
      <w:pPr>
        <w:pBdr/>
        <w:spacing/>
        <w:ind/>
        <w:jc w:val="both"/>
        <w:rPr/>
      </w:pPr>
      <w:r>
        <w:t xml:space="preserve">The supplied reuse cluster size is N = 7. The frequency reuse fraction is 1/N = 1/7 = 0.1429 (14.29%), meaning each cell in a seven-cell reuse pattern is assigned one-seventh of the total available frequency resource under the idealized model.</w:t>
      </w:r>
      <w:r/>
    </w:p>
    <w:p>
      <w:pPr>
        <w:pBdr/>
        <w:spacing/>
        <w:ind/>
        <w:jc w:val="both"/>
        <w:rPr/>
      </w:pPr>
      <w:r>
        <w:t xml:space="preserve">Co-channel reuse distance: D = r√(3N) = 2√(21) = 9.165 km. The ratio D/r = 4.583. This assumes a regular hexagonal lattice and idealized reuse geometry; actual interference depends on antenna patterns, sectorization, terrain, traffic and power control.</w:t>
      </w:r>
      <w:r/>
    </w:p>
    <w:p>
      <w:pPr>
        <w:pStyle w:val="706"/>
        <w:pBdr/>
        <w:spacing/>
        <w:ind/>
        <w:rPr/>
      </w:pPr>
      <w:r>
        <w:t xml:space="preserve">3.3 Capacity expansion options</w:t>
      </w:r>
      <w:r/>
    </w:p>
    <w:tbl>
      <w:tblPr>
        <w:jc w:val="center"/>
        <w:tblW w:w="0" w:type="auto"/>
        <w:tblBorders/>
        <w:tblLayout w:type="fixed"/>
        <w:tblLook w:val="04A0" w:firstRow="1" w:lastRow="0" w:firstColumn="1" w:lastColumn="0" w:noHBand="0" w:noVBand="1"/>
      </w:tblPr>
      <w:tblGrid>
        <w:gridCol w:w="3120"/>
        <w:gridCol w:w="3120"/>
        <w:gridCol w:w="3120"/>
      </w:tblGrid>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Measure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384" w:type="dxa"/>
            <w:vAlign w:val="center"/>
          </w:tcPr>
          <w:p>
            <w:pPr>
              <w:pBdr/>
              <w:spacing w:after="40" w:before="40"/>
              <w:ind/>
              <w:rPr/>
            </w:pPr>
            <w:r>
              <w:rPr>
                <w:rFonts w:ascii="Times New Roman" w:hAnsi="Times New Roman" w:eastAsia="Times New Roman"/>
                <w:sz w:val="24"/>
              </w:rPr>
              <w:t xml:space="preserve">Benefit</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320" w:type="dxa"/>
            <w:vAlign w:val="center"/>
          </w:tcPr>
          <w:p>
            <w:pPr>
              <w:pBdr/>
              <w:spacing w:after="40" w:before="40"/>
              <w:ind/>
              <w:rPr/>
            </w:pPr>
            <w:r>
              <w:rPr>
                <w:rFonts w:ascii="Times New Roman" w:hAnsi="Times New Roman" w:eastAsia="Times New Roman"/>
                <w:sz w:val="24"/>
              </w:rPr>
              <w:t xml:space="preserve">Trade-off / use case</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Cell splitting</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384" w:type="dxa"/>
            <w:vAlign w:val="center"/>
          </w:tcPr>
          <w:p>
            <w:pPr>
              <w:pBdr/>
              <w:spacing w:after="40" w:before="40"/>
              <w:ind/>
              <w:rPr/>
            </w:pPr>
            <w:r>
              <w:rPr>
                <w:rFonts w:ascii="Times New Roman" w:hAnsi="Times New Roman" w:eastAsia="Times New Roman"/>
                <w:sz w:val="24"/>
              </w:rPr>
              <w:t xml:space="preserve">Adds smaller cells and increases spatial reuse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320" w:type="dxa"/>
            <w:vAlign w:val="center"/>
          </w:tcPr>
          <w:p>
            <w:pPr>
              <w:pBdr/>
              <w:spacing w:after="40" w:before="40"/>
              <w:ind/>
              <w:rPr/>
            </w:pPr>
            <w:r>
              <w:rPr>
                <w:rFonts w:ascii="Times New Roman" w:hAnsi="Times New Roman" w:eastAsia="Times New Roman"/>
                <w:sz w:val="24"/>
              </w:rPr>
              <w:t xml:space="preserve">More sites, backhaul and handoffs; may raise interference if poorly planned.</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Sectoring</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384" w:type="dxa"/>
            <w:vAlign w:val="center"/>
          </w:tcPr>
          <w:p>
            <w:pPr>
              <w:pBdr/>
              <w:spacing w:after="40" w:before="40"/>
              <w:ind/>
              <w:rPr/>
            </w:pPr>
            <w:r>
              <w:rPr>
                <w:rFonts w:ascii="Times New Roman" w:hAnsi="Times New Roman" w:eastAsia="Times New Roman"/>
                <w:sz w:val="24"/>
              </w:rPr>
              <w:t xml:space="preserve">Directional antennas reduce the number of dominant interferers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320" w:type="dxa"/>
            <w:vAlign w:val="center"/>
          </w:tcPr>
          <w:p>
            <w:pPr>
              <w:pBdr/>
              <w:spacing w:after="40" w:before="40"/>
              <w:ind/>
              <w:rPr/>
            </w:pPr>
            <w:r>
              <w:rPr>
                <w:rFonts w:ascii="Times New Roman" w:hAnsi="Times New Roman" w:eastAsia="Times New Roman"/>
                <w:sz w:val="24"/>
              </w:rPr>
              <w:t xml:space="preserve">Additional antenna/ RF complexity; sector-edge performance needs planning.</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Microcells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384" w:type="dxa"/>
            <w:vAlign w:val="center"/>
          </w:tcPr>
          <w:p>
            <w:pPr>
              <w:pBdr/>
              <w:spacing w:after="40" w:before="40"/>
              <w:ind/>
              <w:rPr/>
            </w:pPr>
            <w:r>
              <w:rPr>
                <w:rFonts w:ascii="Times New Roman" w:hAnsi="Times New Roman" w:eastAsia="Times New Roman"/>
                <w:sz w:val="24"/>
              </w:rPr>
              <w:t xml:space="preserve">Improve capacity along streets, campuses and dense corridors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320" w:type="dxa"/>
            <w:vAlign w:val="center"/>
          </w:tcPr>
          <w:p>
            <w:pPr>
              <w:pBdr/>
              <w:spacing w:after="40" w:before="40"/>
              <w:ind/>
              <w:rPr/>
            </w:pPr>
            <w:r>
              <w:rPr>
                <w:rFonts w:ascii="Times New Roman" w:hAnsi="Times New Roman" w:eastAsia="Times New Roman"/>
                <w:sz w:val="24"/>
              </w:rPr>
              <w:t xml:space="preserve">Require closer site spacing and more frequent mobility events.</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Picocells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384" w:type="dxa"/>
            <w:vAlign w:val="center"/>
          </w:tcPr>
          <w:p>
            <w:pPr>
              <w:pBdr/>
              <w:spacing w:after="40" w:before="40"/>
              <w:ind/>
              <w:rPr/>
            </w:pPr>
            <w:r>
              <w:rPr>
                <w:rFonts w:ascii="Times New Roman" w:hAnsi="Times New Roman" w:eastAsia="Times New Roman"/>
                <w:sz w:val="24"/>
              </w:rPr>
              <w:t xml:space="preserve">Add indoor or localized capacity in stations, malls and hospitals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320" w:type="dxa"/>
            <w:vAlign w:val="center"/>
          </w:tcPr>
          <w:p>
            <w:pPr>
              <w:pBdr/>
              <w:spacing w:after="40" w:before="40"/>
              <w:ind/>
              <w:rPr/>
            </w:pPr>
            <w:r>
              <w:rPr>
                <w:rFonts w:ascii="Times New Roman" w:hAnsi="Times New Roman" w:eastAsia="Times New Roman"/>
                <w:sz w:val="24"/>
              </w:rPr>
              <w:t xml:space="preserve">Limited coverage; require backhaul and interference coordination.</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Femtocells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384" w:type="dxa"/>
            <w:vAlign w:val="center"/>
          </w:tcPr>
          <w:p>
            <w:pPr>
              <w:pBdr/>
              <w:spacing w:after="40" w:before="40"/>
              <w:ind/>
              <w:rPr/>
            </w:pPr>
            <w:r>
              <w:rPr>
                <w:rFonts w:ascii="Times New Roman" w:hAnsi="Times New Roman" w:eastAsia="Times New Roman"/>
                <w:sz w:val="24"/>
              </w:rPr>
              <w:t xml:space="preserve">Localized indoor coverage, often user-premises based</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320" w:type="dxa"/>
            <w:vAlign w:val="center"/>
          </w:tcPr>
          <w:p>
            <w:pPr>
              <w:pBdr/>
              <w:spacing w:after="40" w:before="40"/>
              <w:ind/>
              <w:rPr/>
            </w:pPr>
            <w:r>
              <w:rPr>
                <w:rFonts w:ascii="Times New Roman" w:hAnsi="Times New Roman" w:eastAsia="Times New Roman"/>
                <w:sz w:val="24"/>
              </w:rPr>
              <w:t xml:space="preserve">Access control, interference and management are important.</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Macro cells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384" w:type="dxa"/>
            <w:vAlign w:val="center"/>
          </w:tcPr>
          <w:p>
            <w:pPr>
              <w:pBdr/>
              <w:spacing w:after="40" w:before="40"/>
              <w:ind/>
              <w:rPr/>
            </w:pPr>
            <w:r>
              <w:rPr>
                <w:rFonts w:ascii="Times New Roman" w:hAnsi="Times New Roman" w:eastAsia="Times New Roman"/>
                <w:sz w:val="24"/>
              </w:rPr>
              <w:t xml:space="preserve">Broad-area coverage and mobility anchor</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320" w:type="dxa"/>
            <w:vAlign w:val="center"/>
          </w:tcPr>
          <w:p>
            <w:pPr>
              <w:pBdr/>
              <w:spacing w:after="40" w:before="40"/>
              <w:ind/>
              <w:rPr/>
            </w:pPr>
            <w:r>
              <w:rPr>
                <w:rFonts w:ascii="Times New Roman" w:hAnsi="Times New Roman" w:eastAsia="Times New Roman"/>
                <w:sz w:val="24"/>
              </w:rPr>
              <w:t xml:space="preserve">May be capacity-limited in dense hotspots.</w:t>
            </w:r>
            <w:r/>
          </w:p>
        </w:tc>
      </w:tr>
    </w:tbl>
    <w:p>
      <w:pPr>
        <w:pBdr/>
        <w:spacing/>
        <w:ind/>
        <w:rPr/>
      </w:pPr>
      <w:r/>
      <w:r/>
    </w:p>
    <w:p>
      <w:pPr>
        <w:pBdr/>
        <w:spacing/>
        <w:ind/>
        <w:jc w:val="both"/>
        <w:rPr/>
      </w:pPr>
      <w:r>
        <w:t xml:space="preserve">Recommendation: retain macro cells as the coverage and mobility layer, then add micro/pico cells at measur</w:t>
      </w:r>
      <w:r>
        <w:t xml:space="preserve">ed congestion hotspots and transport hubs. Apply sectorization or cell splitting only where drive tests and busy-hour utilization identify a clear capacity need. This avoids blanket densification, which would increase cost, power use and handoff frequency.</w:t>
      </w:r>
      <w:r/>
    </w:p>
    <w:p>
      <w:pPr>
        <w:pStyle w:val="705"/>
        <w:pBdr/>
        <w:spacing/>
        <w:ind/>
        <w:rPr/>
      </w:pPr>
      <w:r>
        <w:t xml:space="preserve">4. Traffic capacity and Erlang B analysis</w:t>
      </w:r>
      <w:r/>
    </w:p>
    <w:p>
      <w:pPr>
        <w:pStyle w:val="706"/>
        <w:pBdr/>
        <w:spacing/>
        <w:ind/>
        <w:rPr/>
      </w:pPr>
      <w:r>
        <w:t xml:space="preserve">4.1 Offered busy-hour traffic</w:t>
      </w:r>
      <w:r/>
    </w:p>
    <w:p>
      <w:pPr>
        <w:pBdr/>
        <w:spacing/>
        <w:ind/>
        <w:jc w:val="both"/>
        <w:rPr/>
      </w:pPr>
      <w:r>
        <w:t xml:space="preserve">Offered traffic A = number of subscribers × traffic per subscriber = 1,000 × 0.08 Erlang = 80 Erlangs.</w:t>
      </w:r>
      <w:r/>
    </w:p>
    <w:p>
      <w:pPr>
        <w:pBdr/>
        <w:spacing/>
        <w:ind/>
        <w:jc w:val="both"/>
        <w:rPr/>
      </w:pPr>
      <w:r>
        <w:t xml:space="preserve">Erlang B blocking probability for C channels is calculated recursively: B(0,A) = 1 and B(c,A) = [A × B(c−1,A)]/[c + A × B(c−1,A)]. The model assumes blocked calls are cleared rather than queued.</w:t>
      </w:r>
      <w:r/>
    </w:p>
    <w:p>
      <w:pPr>
        <w:pStyle w:val="706"/>
        <w:pBdr/>
        <w:spacing/>
        <w:ind/>
        <w:rPr/>
      </w:pPr>
      <w:r>
        <w:t xml:space="preserve">4.2 Blocking result and minimum channels</w:t>
      </w:r>
      <w:r/>
    </w:p>
    <w:tbl>
      <w:tblPr>
        <w:jc w:val="center"/>
        <w:tblW w:w="0" w:type="auto"/>
        <w:tblBorders/>
        <w:tblLayout w:type="fixed"/>
        <w:tblLook w:val="04A0" w:firstRow="1" w:lastRow="0" w:firstColumn="1" w:lastColumn="0" w:noHBand="0" w:noVBand="1"/>
      </w:tblPr>
      <w:tblGrid>
        <w:gridCol w:w="2340"/>
        <w:gridCol w:w="2340"/>
        <w:gridCol w:w="2340"/>
        <w:gridCol w:w="2340"/>
      </w:tblGrid>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728" w:type="dxa"/>
            <w:vAlign w:val="center"/>
          </w:tcPr>
          <w:p>
            <w:pPr>
              <w:pBdr/>
              <w:spacing w:after="40" w:before="40"/>
              <w:ind/>
              <w:rPr/>
            </w:pPr>
            <w:r>
              <w:rPr>
                <w:rFonts w:ascii="Times New Roman" w:hAnsi="Times New Roman" w:eastAsia="Times New Roman"/>
                <w:sz w:val="24"/>
              </w:rPr>
              <w:t xml:space="preserve">Case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168" w:type="dxa"/>
            <w:vAlign w:val="center"/>
          </w:tcPr>
          <w:p>
            <w:pPr>
              <w:pBdr/>
              <w:spacing w:after="40" w:before="40"/>
              <w:ind/>
              <w:rPr/>
            </w:pPr>
            <w:r>
              <w:rPr>
                <w:rFonts w:ascii="Times New Roman" w:hAnsi="Times New Roman" w:eastAsia="Times New Roman"/>
                <w:sz w:val="24"/>
              </w:rPr>
              <w:t xml:space="preserve">Input / method</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160" w:type="dxa"/>
            <w:vAlign w:val="center"/>
          </w:tcPr>
          <w:p>
            <w:pPr>
              <w:pBdr/>
              <w:spacing w:after="40" w:before="40"/>
              <w:ind/>
              <w:rPr/>
            </w:pPr>
            <w:r>
              <w:rPr>
                <w:rFonts w:ascii="Times New Roman" w:hAnsi="Times New Roman" w:eastAsia="Times New Roman"/>
                <w:sz w:val="24"/>
              </w:rPr>
              <w:t xml:space="preserve">Result</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448" w:type="dxa"/>
            <w:vAlign w:val="center"/>
          </w:tcPr>
          <w:p>
            <w:pPr>
              <w:pBdr/>
              <w:spacing w:after="40" w:before="40"/>
              <w:ind/>
              <w:rPr/>
            </w:pPr>
            <w:r>
              <w:rPr>
                <w:rFonts w:ascii="Times New Roman" w:hAnsi="Times New Roman" w:eastAsia="Times New Roman"/>
                <w:sz w:val="24"/>
              </w:rPr>
              <w:t xml:space="preserve">Interpretation</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728" w:type="dxa"/>
            <w:vAlign w:val="center"/>
          </w:tcPr>
          <w:p>
            <w:pPr>
              <w:pBdr/>
              <w:spacing w:after="40" w:before="40"/>
              <w:ind/>
              <w:rPr/>
            </w:pPr>
            <w:r>
              <w:rPr>
                <w:rFonts w:ascii="Times New Roman" w:hAnsi="Times New Roman" w:eastAsia="Times New Roman"/>
                <w:sz w:val="24"/>
              </w:rPr>
              <w:t xml:space="preserve">Initial base station</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168" w:type="dxa"/>
            <w:vAlign w:val="center"/>
          </w:tcPr>
          <w:p>
            <w:pPr>
              <w:pBdr/>
              <w:spacing w:after="40" w:before="40"/>
              <w:ind/>
              <w:rPr/>
            </w:pPr>
            <w:r>
              <w:rPr>
                <w:rFonts w:ascii="Times New Roman" w:hAnsi="Times New Roman" w:eastAsia="Times New Roman"/>
                <w:sz w:val="24"/>
              </w:rPr>
              <w:t xml:space="preserve">A = 80 Erlangs; C = 100 channels; Erlang B recursion</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160" w:type="dxa"/>
            <w:vAlign w:val="center"/>
          </w:tcPr>
          <w:p>
            <w:pPr>
              <w:pBdr/>
              <w:spacing w:after="40" w:before="40"/>
              <w:ind/>
              <w:rPr/>
            </w:pPr>
            <w:r>
              <w:rPr>
                <w:rFonts w:ascii="Times New Roman" w:hAnsi="Times New Roman" w:eastAsia="Times New Roman"/>
                <w:sz w:val="24"/>
              </w:rPr>
              <w:t xml:space="preserve">B(100,80) ≈ 0.003992 = 0.399%</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448" w:type="dxa"/>
            <w:vAlign w:val="center"/>
          </w:tcPr>
          <w:p>
            <w:pPr>
              <w:pBdr/>
              <w:spacing w:after="40" w:before="40"/>
              <w:ind/>
              <w:rPr/>
            </w:pPr>
            <w:r>
              <w:rPr>
                <w:rFonts w:ascii="Times New Roman" w:hAnsi="Times New Roman" w:eastAsia="Times New Roman"/>
                <w:sz w:val="24"/>
              </w:rPr>
              <w:t xml:space="preserve">The modeled blocking probability is below the 2% target.</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728" w:type="dxa"/>
            <w:vAlign w:val="center"/>
          </w:tcPr>
          <w:p>
            <w:pPr>
              <w:pBdr/>
              <w:spacing w:after="40" w:before="40"/>
              <w:ind/>
              <w:rPr/>
            </w:pPr>
            <w:r>
              <w:rPr>
                <w:rFonts w:ascii="Times New Roman" w:hAnsi="Times New Roman" w:eastAsia="Times New Roman"/>
                <w:sz w:val="24"/>
              </w:rPr>
              <w:t xml:space="preserve">Minimum channels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168" w:type="dxa"/>
            <w:vAlign w:val="center"/>
          </w:tcPr>
          <w:p>
            <w:pPr>
              <w:pBdr/>
              <w:spacing w:after="40" w:before="40"/>
              <w:ind/>
              <w:rPr/>
            </w:pPr>
            <w:r>
              <w:rPr>
                <w:rFonts w:ascii="Times New Roman" w:hAnsi="Times New Roman" w:eastAsia="Times New Roman"/>
                <w:sz w:val="24"/>
              </w:rPr>
              <w:t xml:space="preserve">Increase C until B(C,80) ≤ 0.02</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160" w:type="dxa"/>
            <w:vAlign w:val="center"/>
          </w:tcPr>
          <w:p>
            <w:pPr>
              <w:pBdr/>
              <w:spacing w:after="40" w:before="40"/>
              <w:ind/>
              <w:rPr/>
            </w:pPr>
            <w:r>
              <w:rPr>
                <w:rFonts w:ascii="Times New Roman" w:hAnsi="Times New Roman" w:eastAsia="Times New Roman"/>
                <w:sz w:val="24"/>
              </w:rPr>
              <w:t xml:space="preserve">C = 92 gives B ≈ 1.922%; C = 91 does not meet target</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448" w:type="dxa"/>
            <w:vAlign w:val="center"/>
          </w:tcPr>
          <w:p>
            <w:pPr>
              <w:pBdr/>
              <w:spacing w:after="40" w:before="40"/>
              <w:ind/>
              <w:rPr/>
            </w:pPr>
            <w:r>
              <w:rPr>
                <w:rFonts w:ascii="Times New Roman" w:hAnsi="Times New Roman" w:eastAsia="Times New Roman"/>
                <w:sz w:val="24"/>
              </w:rPr>
              <w:t xml:space="preserve">92 is the minimum integer channel count for the stated offered load.</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728" w:type="dxa"/>
            <w:vAlign w:val="center"/>
          </w:tcPr>
          <w:p>
            <w:pPr>
              <w:pBdr/>
              <w:spacing w:after="40" w:before="40"/>
              <w:ind/>
              <w:rPr/>
            </w:pPr>
            <w:r>
              <w:rPr>
                <w:rFonts w:ascii="Times New Roman" w:hAnsi="Times New Roman" w:eastAsia="Times New Roman"/>
                <w:sz w:val="24"/>
              </w:rPr>
              <w:t xml:space="preserve">100-channel groups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168" w:type="dxa"/>
            <w:vAlign w:val="center"/>
          </w:tcPr>
          <w:p>
            <w:pPr>
              <w:pBdr/>
              <w:spacing w:after="40" w:before="40"/>
              <w:ind/>
              <w:rPr/>
            </w:pPr>
            <w:r>
              <w:rPr>
                <w:rFonts w:ascii="Times New Roman" w:hAnsi="Times New Roman" w:eastAsia="Times New Roman"/>
                <w:sz w:val="24"/>
              </w:rPr>
              <w:t xml:space="preserve">ceil(92/100)</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160" w:type="dxa"/>
            <w:vAlign w:val="center"/>
          </w:tcPr>
          <w:p>
            <w:pPr>
              <w:pBdr/>
              <w:spacing w:after="40" w:before="40"/>
              <w:ind/>
              <w:rPr/>
            </w:pPr>
            <w:r>
              <w:rPr>
                <w:rFonts w:ascii="Times New Roman" w:hAnsi="Times New Roman" w:eastAsia="Times New Roman"/>
                <w:sz w:val="24"/>
              </w:rPr>
              <w:t xml:space="preserve">1 group</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448" w:type="dxa"/>
            <w:vAlign w:val="center"/>
          </w:tcPr>
          <w:p>
            <w:pPr>
              <w:pBdr/>
              <w:spacing w:after="40" w:before="40"/>
              <w:ind/>
              <w:rPr/>
            </w:pPr>
            <w:r>
              <w:rPr>
                <w:rFonts w:ascii="Times New Roman" w:hAnsi="Times New Roman" w:eastAsia="Times New Roman"/>
                <w:sz w:val="24"/>
              </w:rPr>
              <w:t xml:space="preserve">One 100-channel group is enough for the aggregate modeled load, but this does not specify physical site count.</w:t>
            </w:r>
            <w:r/>
          </w:p>
        </w:tc>
      </w:tr>
    </w:tbl>
    <w:p>
      <w:pPr>
        <w:pBdr/>
        <w:spacing/>
        <w:ind/>
        <w:rPr/>
      </w:pPr>
      <w:r/>
      <w:r/>
    </w:p>
    <w:p>
      <w:pPr>
        <w:pBdr/>
        <w:spacing/>
        <w:ind/>
        <w:jc w:val="both"/>
        <w:rPr/>
      </w:pPr>
      <w:r>
        <w:t xml:space="preserve">Interpretation: 100 channels provide margin relative to the 92-channel minimum for 80 Erlangs. However, channels cannot necessarily be pooled across an entire region without regard to geography. Real dep</w:t>
      </w:r>
      <w:r>
        <w:t xml:space="preserve">loyment must distribute capacity by cell, account for nonuniform busy-hour demand, control channels, handoff traffic, spectrum licensing and frequency reuse. The “one group” result is therefore only a first-order traffic estimate, not a complete site plan.</w:t>
      </w:r>
      <w:r/>
    </w:p>
    <w:p>
      <w:pPr>
        <w:pStyle w:val="706"/>
        <w:pBdr/>
        <w:spacing/>
        <w:ind/>
        <w:rPr/>
      </w:pPr>
      <w:r>
        <w:t xml:space="preserve">4.3 Capacity relationship</w:t>
      </w:r>
      <w:r/>
    </w:p>
    <w:p>
      <w:pPr>
        <w:pBdr/>
        <w:spacing/>
        <w:ind/>
        <w:jc w:val="both"/>
        <w:rPr/>
      </w:pPr>
      <w:r>
        <w:t xml:space="preserve">A useful theoretical upper bound is Shannon capacity C = B log₂(1 + SNR), where </w:t>
      </w:r>
      <w:r>
        <w:t xml:space="preserve">B is bandwidth in hertz. A practical first-order data-rate estimate is R ≈ Bη, where η is spectral efficiency in bit/s/Hz. Actual throughput is lower due to interference, coding and modulation constraints, protocol overhead, scheduling and retransmissions.</w:t>
      </w:r>
      <w:r/>
    </w:p>
    <w:p>
      <w:pPr>
        <w:pStyle w:val="705"/>
        <w:pBdr/>
        <w:spacing/>
        <w:ind/>
        <w:rPr/>
      </w:pPr>
      <w:r>
        <w:t xml:space="preserve">5. Mobility and handoff analysis</w:t>
      </w:r>
      <w:r/>
    </w:p>
    <w:p>
      <w:pPr>
        <w:pStyle w:val="706"/>
        <w:pBdr/>
        <w:spacing/>
        <w:ind/>
        <w:rPr/>
      </w:pPr>
      <w:r>
        <w:t xml:space="preserve">5.1 Distance travelled during overlap</w:t>
      </w:r>
      <w:r/>
    </w:p>
    <w:p>
      <w:pPr>
        <w:pBdr/>
        <w:spacing/>
        <w:ind/>
        <w:jc w:val="both"/>
        <w:rPr/>
      </w:pPr>
      <w:r>
        <w:t xml:space="preserve">Speed = 60 km/h = 60,000 m / 3,600 s = 16.667 m/s. Distance in a 6 s overlap zone = vt = 16.667 × 6 = 100 m.</w:t>
      </w:r>
      <w:r/>
    </w:p>
    <w:p>
      <w:pPr>
        <w:pStyle w:val="706"/>
        <w:pBdr/>
        <w:spacing/>
        <w:ind/>
        <w:rPr/>
      </w:pPr>
      <w:r>
        <w:t xml:space="preserve">5.2 Handoffs per minute</w:t>
      </w:r>
      <w:r/>
    </w:p>
    <w:p>
      <w:pPr>
        <w:pBdr/>
        <w:spacing/>
        <w:ind/>
        <w:jc w:val="both"/>
        <w:rPr/>
      </w:pPr>
      <w:r>
        <w:t xml:space="preserve">Using the supplied nominal route cell length of 1 km as the distance travelled between successive cell transitions, travel time per cell = 1 km / 60 km/h</w:t>
      </w:r>
      <w:r>
        <w:t xml:space="preserve"> = 1/60 h = 60 s. The estimated rate is therefore about 1 handoff per minute during continuous travel along that route. This is a simplified interpretation; actual handoff rate depends on cell geometry, route direction, overlap, speed and radio conditions.</w:t>
      </w:r>
      <w:r/>
    </w:p>
    <w:p>
      <w:pPr>
        <w:pStyle w:val="706"/>
        <w:pBdr/>
        <w:spacing/>
        <w:ind/>
        <w:rPr/>
      </w:pPr>
      <w:r>
        <w:t xml:space="preserve">5.3 Handoff types and simple risk estimate</w:t>
      </w:r>
      <w:r/>
    </w:p>
    <w:tbl>
      <w:tblPr>
        <w:jc w:val="center"/>
        <w:tblW w:w="0" w:type="auto"/>
        <w:tblBorders/>
        <w:tblLayout w:type="fixed"/>
        <w:tblLook w:val="04A0" w:firstRow="1" w:lastRow="0" w:firstColumn="1" w:lastColumn="0" w:noHBand="0" w:noVBand="1"/>
      </w:tblPr>
      <w:tblGrid>
        <w:gridCol w:w="3120"/>
        <w:gridCol w:w="3120"/>
        <w:gridCol w:w="3120"/>
      </w:tblGrid>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728" w:type="dxa"/>
            <w:vAlign w:val="center"/>
          </w:tcPr>
          <w:p>
            <w:pPr>
              <w:pBdr/>
              <w:spacing w:after="40" w:before="40"/>
              <w:ind/>
              <w:rPr/>
            </w:pPr>
            <w:r>
              <w:rPr>
                <w:rFonts w:ascii="Times New Roman" w:hAnsi="Times New Roman" w:eastAsia="Times New Roman"/>
                <w:sz w:val="24"/>
              </w:rPr>
              <w:t xml:space="preserve">Handoff type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032" w:type="dxa"/>
            <w:vAlign w:val="center"/>
          </w:tcPr>
          <w:p>
            <w:pPr>
              <w:pBdr/>
              <w:spacing w:after="40" w:before="40"/>
              <w:ind/>
              <w:rPr/>
            </w:pPr>
            <w:r>
              <w:rPr>
                <w:rFonts w:ascii="Times New Roman" w:hAnsi="Times New Roman" w:eastAsia="Times New Roman"/>
                <w:sz w:val="24"/>
              </w:rPr>
              <w:t xml:space="preserve">Continuity / resource use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Typical implication</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728" w:type="dxa"/>
            <w:vAlign w:val="center"/>
          </w:tcPr>
          <w:p>
            <w:pPr>
              <w:pBdr/>
              <w:spacing w:after="40" w:before="40"/>
              <w:ind/>
              <w:rPr/>
            </w:pPr>
            <w:r>
              <w:rPr>
                <w:rFonts w:ascii="Times New Roman" w:hAnsi="Times New Roman" w:eastAsia="Times New Roman"/>
                <w:sz w:val="24"/>
              </w:rPr>
              <w:t xml:space="preserve">Hard handoff</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032" w:type="dxa"/>
            <w:vAlign w:val="center"/>
          </w:tcPr>
          <w:p>
            <w:pPr>
              <w:pBdr/>
              <w:spacing w:after="40" w:before="40"/>
              <w:ind/>
              <w:rPr/>
            </w:pPr>
            <w:r>
              <w:rPr>
                <w:rFonts w:ascii="Times New Roman" w:hAnsi="Times New Roman" w:eastAsia="Times New Roman"/>
                <w:sz w:val="24"/>
              </w:rPr>
              <w:t xml:space="preserve">Break-before-make; releases old connection before or as new one is established</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Efficient resource use, but interruption or drop risk if target link is not ready.</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728" w:type="dxa"/>
            <w:vAlign w:val="center"/>
          </w:tcPr>
          <w:p>
            <w:pPr>
              <w:pBdr/>
              <w:spacing w:after="40" w:before="40"/>
              <w:ind/>
              <w:rPr/>
            </w:pPr>
            <w:r>
              <w:rPr>
                <w:rFonts w:ascii="Times New Roman" w:hAnsi="Times New Roman" w:eastAsia="Times New Roman"/>
                <w:sz w:val="24"/>
              </w:rPr>
              <w:t xml:space="preserve">Soft handoff</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032" w:type="dxa"/>
            <w:vAlign w:val="center"/>
          </w:tcPr>
          <w:p>
            <w:pPr>
              <w:pBdr/>
              <w:spacing w:after="40" w:before="40"/>
              <w:ind/>
              <w:rPr/>
            </w:pPr>
            <w:r>
              <w:rPr>
                <w:rFonts w:ascii="Times New Roman" w:hAnsi="Times New Roman" w:eastAsia="Times New Roman"/>
                <w:sz w:val="24"/>
              </w:rPr>
              <w:t xml:space="preserve">Make-before-break with simultaneous links, classically in CDMA systems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Can improve continuity but consumes resources on multiple cells.</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728" w:type="dxa"/>
            <w:vAlign w:val="center"/>
          </w:tcPr>
          <w:p>
            <w:pPr>
              <w:pBdr/>
              <w:spacing w:after="40" w:before="40"/>
              <w:ind/>
              <w:rPr/>
            </w:pPr>
            <w:r>
              <w:rPr>
                <w:rFonts w:ascii="Times New Roman" w:hAnsi="Times New Roman" w:eastAsia="Times New Roman"/>
                <w:sz w:val="24"/>
              </w:rPr>
              <w:t xml:space="preserve">Softer handoff</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032" w:type="dxa"/>
            <w:vAlign w:val="center"/>
          </w:tcPr>
          <w:p>
            <w:pPr>
              <w:pBdr/>
              <w:spacing w:after="40" w:before="40"/>
              <w:ind/>
              <w:rPr/>
            </w:pPr>
            <w:r>
              <w:rPr>
                <w:rFonts w:ascii="Times New Roman" w:hAnsi="Times New Roman" w:eastAsia="Times New Roman"/>
                <w:sz w:val="24"/>
              </w:rPr>
              <w:t xml:space="preserve">Make-before-break between sectors of the same base station</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Can improve sector-boundary continuity with additional radio resource use.</w:t>
            </w:r>
            <w:r/>
          </w:p>
        </w:tc>
      </w:tr>
    </w:tbl>
    <w:p>
      <w:pPr>
        <w:pBdr/>
        <w:spacing/>
        <w:ind/>
        <w:rPr/>
      </w:pPr>
      <w:r/>
      <w:r/>
    </w:p>
    <w:p>
      <w:pPr>
        <w:pBdr/>
        <w:spacing/>
        <w:ind/>
        <w:jc w:val="both"/>
        <w:rPr/>
      </w:pPr>
      <w:r>
        <w:t xml:space="preserve">A simple overlap travel-time comparison gives interruption fraction = 0.5 </w:t>
      </w:r>
      <w:r>
        <w:t xml:space="preserve">s / 6 s = 8.33% of the overlap interval. Separately, if the target cell is unavailable 1% of the time and that unavailability is independent of handoff timing, a one-handoff unavailability risk proxy is 1%. These two figures describe different effects and </w:t>
      </w:r>
      <w:r>
        <w:t xml:space="preserve">must not be added as if they were a validated call-drop probability. The 0.5 s interruption may affect real-time services, while a complete drop estimate needs target-cell selection, radio-link failure, retries, handover preparation and failure statistics.</w:t>
      </w:r>
      <w:r/>
    </w:p>
    <w:p>
      <w:pPr>
        <w:pBdr/>
        <w:spacing/>
        <w:ind/>
        <w:jc w:val="both"/>
        <w:rPr/>
      </w:pPr>
      <w:r>
        <w:t xml:space="preserve">Recommendation:</w:t>
      </w:r>
      <w:r>
        <w:t xml:space="preserve"> use make-before-break where supported and justified for critical mobility, optimize neighbor lists and handover thresholds, and test at 60 km/h along transport corridors. Measure interruption, handover success rate, ping-pong rate and radio-link failures.</w:t>
      </w:r>
      <w:r/>
    </w:p>
    <w:p>
      <w:pPr>
        <w:pStyle w:val="705"/>
        <w:pBdr/>
        <w:spacing/>
        <w:ind/>
        <w:rPr/>
      </w:pPr>
      <w:r>
        <w:t xml:space="preserve">6. Interference analysis</w:t>
      </w:r>
      <w:r/>
    </w:p>
    <w:p>
      <w:pPr>
        <w:pStyle w:val="706"/>
        <w:pBdr/>
        <w:spacing/>
        <w:ind/>
        <w:rPr/>
      </w:pPr>
      <w:r>
        <w:t xml:space="preserve">6.1 Carrier-to-interference ratio with co-channel interference only</w:t>
      </w:r>
      <w:r/>
    </w:p>
    <w:p>
      <w:pPr>
        <w:pBdr/>
        <w:spacing/>
        <w:ind/>
        <w:jc w:val="both"/>
        <w:rPr/>
      </w:pPr>
      <w:r>
        <w:t xml:space="preserve">Desired signal S = −70 dBm and co-channel interference I₁ = −85 dBm. C/I = S − I₁ = (−70) − (−85) = 15 dB. The co-channel-only ratio is exactly at the specified 15 dB threshold.</w:t>
      </w:r>
      <w:r/>
    </w:p>
    <w:p>
      <w:pPr>
        <w:pStyle w:val="706"/>
        <w:pBdr/>
        <w:spacing/>
        <w:ind/>
        <w:rPr/>
      </w:pPr>
      <w:r>
        <w:t xml:space="preserve">6.2 Combined co-channel and adjacent-channel interference</w:t>
      </w:r>
      <w:r/>
    </w:p>
    <w:p>
      <w:pPr>
        <w:pBdr/>
        <w:spacing/>
        <w:ind/>
        <w:jc w:val="both"/>
        <w:rPr/>
      </w:pPr>
      <w:r>
        <w:t xml:space="preserve">Interference powers must be summed in linear units, not directly in dBm. In mW: I₁ = 10^(−85/10) = 3.1623 × 10⁻⁹ mW; I₂ = 10^(−90/10) = 1.0000 × 10⁻⁹ mW.</w:t>
      </w:r>
      <w:r/>
    </w:p>
    <w:p>
      <w:pPr>
        <w:pBdr/>
        <w:spacing/>
        <w:ind/>
        <w:jc w:val="both"/>
        <w:rPr/>
      </w:pPr>
      <w:r>
        <w:t xml:space="preserve">I_total = I₁ + I₂ = 4.1623 × 10⁻⁹ mW. Converting back: I_total(dBm) = 10 log₁₀(I_total in mW) ≈ −83.81 dBm.</w:t>
      </w:r>
      <w:r/>
    </w:p>
    <w:p>
      <w:pPr>
        <w:pBdr/>
        <w:spacing/>
        <w:ind/>
        <w:jc w:val="both"/>
        <w:rPr/>
      </w:pPr>
      <w:r>
        <w:t xml:space="preserve">SINR ≈ S − I_total = −70 − (−83.81) = 13.81 dB (thermal noise is not included because no noise value was supplied). This is below the 15 dB target by about 1.19 dB. Therefore, the case fails the target when both interference components are included.</w:t>
      </w:r>
      <w:r/>
    </w:p>
    <w:tbl>
      <w:tblPr>
        <w:jc w:val="center"/>
        <w:tblW w:w="0" w:type="auto"/>
        <w:tblBorders/>
        <w:tblLayout w:type="fixed"/>
        <w:tblLook w:val="04A0" w:firstRow="1" w:lastRow="0" w:firstColumn="1" w:lastColumn="0" w:noHBand="0" w:noVBand="1"/>
      </w:tblPr>
      <w:tblGrid>
        <w:gridCol w:w="3120"/>
        <w:gridCol w:w="3120"/>
        <w:gridCol w:w="3120"/>
      </w:tblGrid>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880" w:type="dxa"/>
            <w:vAlign w:val="center"/>
          </w:tcPr>
          <w:p>
            <w:pPr>
              <w:pBdr/>
              <w:spacing w:after="40" w:before="40"/>
              <w:ind/>
              <w:rPr/>
            </w:pPr>
            <w:r>
              <w:rPr>
                <w:rFonts w:ascii="Times New Roman" w:hAnsi="Times New Roman" w:eastAsia="Times New Roman"/>
                <w:sz w:val="24"/>
              </w:rPr>
              <w:t xml:space="preserve">Interference case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032" w:type="dxa"/>
            <w:vAlign w:val="center"/>
          </w:tcPr>
          <w:p>
            <w:pPr>
              <w:pBdr/>
              <w:spacing w:after="40" w:before="40"/>
              <w:ind/>
              <w:rPr/>
            </w:pPr>
            <w:r>
              <w:rPr>
                <w:rFonts w:ascii="Times New Roman" w:hAnsi="Times New Roman" w:eastAsia="Times New Roman"/>
                <w:sz w:val="24"/>
              </w:rPr>
              <w:t xml:space="preserve">Calculated result</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92" w:type="dxa"/>
            <w:vAlign w:val="center"/>
          </w:tcPr>
          <w:p>
            <w:pPr>
              <w:pBdr/>
              <w:spacing w:after="40" w:before="40"/>
              <w:ind/>
              <w:rPr/>
            </w:pPr>
            <w:r>
              <w:rPr>
                <w:rFonts w:ascii="Times New Roman" w:hAnsi="Times New Roman" w:eastAsia="Times New Roman"/>
                <w:sz w:val="24"/>
              </w:rPr>
              <w:t xml:space="preserve">Target decision</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880" w:type="dxa"/>
            <w:vAlign w:val="center"/>
          </w:tcPr>
          <w:p>
            <w:pPr>
              <w:pBdr/>
              <w:spacing w:after="40" w:before="40"/>
              <w:ind/>
              <w:rPr/>
            </w:pPr>
            <w:r>
              <w:rPr>
                <w:rFonts w:ascii="Times New Roman" w:hAnsi="Times New Roman" w:eastAsia="Times New Roman"/>
                <w:sz w:val="24"/>
              </w:rPr>
              <w:t xml:space="preserve">Co-channel only</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032" w:type="dxa"/>
            <w:vAlign w:val="center"/>
          </w:tcPr>
          <w:p>
            <w:pPr>
              <w:pBdr/>
              <w:spacing w:after="40" w:before="40"/>
              <w:ind/>
              <w:rPr/>
            </w:pPr>
            <w:r>
              <w:rPr>
                <w:rFonts w:ascii="Times New Roman" w:hAnsi="Times New Roman" w:eastAsia="Times New Roman"/>
                <w:sz w:val="24"/>
              </w:rPr>
              <w:t xml:space="preserve">C/I = 15.00 dB</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92" w:type="dxa"/>
            <w:vAlign w:val="center"/>
          </w:tcPr>
          <w:p>
            <w:pPr>
              <w:pBdr/>
              <w:spacing w:after="40" w:before="40"/>
              <w:ind/>
              <w:rPr/>
            </w:pPr>
            <w:r>
              <w:rPr>
                <w:rFonts w:ascii="Times New Roman" w:hAnsi="Times New Roman" w:eastAsia="Times New Roman"/>
                <w:sz w:val="24"/>
              </w:rPr>
              <w:t xml:space="preserve">Meets threshold exactly.</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880" w:type="dxa"/>
            <w:vAlign w:val="center"/>
          </w:tcPr>
          <w:p>
            <w:pPr>
              <w:pBdr/>
              <w:spacing w:after="40" w:before="40"/>
              <w:ind/>
              <w:rPr/>
            </w:pPr>
            <w:r>
              <w:rPr>
                <w:rFonts w:ascii="Times New Roman" w:hAnsi="Times New Roman" w:eastAsia="Times New Roman"/>
                <w:sz w:val="24"/>
              </w:rPr>
              <w:t xml:space="preserve">Co-channel + adjacent-channel</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032" w:type="dxa"/>
            <w:vAlign w:val="center"/>
          </w:tcPr>
          <w:p>
            <w:pPr>
              <w:pBdr/>
              <w:spacing w:after="40" w:before="40"/>
              <w:ind/>
              <w:rPr/>
            </w:pPr>
            <w:r>
              <w:rPr>
                <w:rFonts w:ascii="Times New Roman" w:hAnsi="Times New Roman" w:eastAsia="Times New Roman"/>
                <w:sz w:val="24"/>
              </w:rPr>
              <w:t xml:space="preserve">Combined interference ≈ −83.81 dBm; signal-to-interference ratio ≈ 13.81 dB</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92" w:type="dxa"/>
            <w:vAlign w:val="center"/>
          </w:tcPr>
          <w:p>
            <w:pPr>
              <w:pBdr/>
              <w:spacing w:after="40" w:before="40"/>
              <w:ind/>
              <w:rPr/>
            </w:pPr>
            <w:r>
              <w:rPr>
                <w:rFonts w:ascii="Times New Roman" w:hAnsi="Times New Roman" w:eastAsia="Times New Roman"/>
                <w:sz w:val="24"/>
              </w:rPr>
              <w:t xml:space="preserve">Does not meet 15 dB target; additional margin is needed.</w:t>
            </w:r>
            <w:r/>
          </w:p>
        </w:tc>
      </w:tr>
    </w:tbl>
    <w:p>
      <w:pPr>
        <w:pBdr/>
        <w:spacing/>
        <w:ind/>
        <w:rPr/>
      </w:pPr>
      <w:r/>
      <w:r/>
    </w:p>
    <w:p>
      <w:pPr>
        <w:pStyle w:val="706"/>
        <w:pBdr/>
        <w:spacing/>
        <w:ind/>
        <w:rPr/>
      </w:pPr>
      <w:r>
        <w:t xml:space="preserve">6.3 Mitigation and trade-offs</w:t>
      </w:r>
      <w:r/>
    </w:p>
    <w:p>
      <w:pPr>
        <w:pBdr/>
        <w:spacing/>
        <w:ind/>
        <w:jc w:val="both"/>
        <w:rPr/>
      </w:pPr>
      <w:r>
        <w:t xml:space="preserve">Use coordinated frequency planning and antenna/beam optimization to reduce dominant co-channel coupling; improve adjacent-channel filtering and ensure adequate channel separation where feasible. Sectoriz</w:t>
      </w:r>
      <w:r>
        <w:t xml:space="preserve">ation, beamforming and power control can reduce interference, but may add hardware/control complexity and must not create coverage holes. A practical design target should include margin above 15 dB rather than merely meeting the threshold in an ideal case.</w:t>
      </w:r>
      <w:r/>
    </w:p>
    <w:p>
      <w:pPr>
        <w:pStyle w:val="705"/>
        <w:pBdr/>
        <w:spacing/>
        <w:ind/>
        <w:rPr/>
      </w:pPr>
      <w:r>
        <w:t xml:space="preserve">7. Spectrum-band comparison at 100 m</w:t>
      </w:r>
      <w:r/>
    </w:p>
    <w:p>
      <w:pPr>
        <w:pBdr/>
        <w:spacing/>
        <w:ind/>
        <w:jc w:val="both"/>
        <w:rPr/>
      </w:pPr>
      <w:r>
        <w:t xml:space="preserve">Wavelength is λ = c/f, with c = 3 × 10⁸ m/s. Free-space path loss is FSPL = 20 log₁₀(4πd/λ), using d = 100 m. The model assumes unobstructed free-space propagation.</w:t>
      </w:r>
      <w:r/>
    </w:p>
    <w:tbl>
      <w:tblPr>
        <w:jc w:val="center"/>
        <w:tblW w:w="0" w:type="auto"/>
        <w:tblBorders/>
        <w:tblLayout w:type="fixed"/>
        <w:tblLook w:val="04A0" w:firstRow="1" w:lastRow="0" w:firstColumn="1" w:lastColumn="0" w:noHBand="0" w:noVBand="1"/>
      </w:tblPr>
      <w:tblGrid>
        <w:gridCol w:w="1872"/>
        <w:gridCol w:w="1872"/>
        <w:gridCol w:w="1872"/>
        <w:gridCol w:w="1872"/>
        <w:gridCol w:w="1872"/>
      </w:tblGrid>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224" w:type="dxa"/>
            <w:vAlign w:val="center"/>
          </w:tcPr>
          <w:p>
            <w:pPr>
              <w:pBdr/>
              <w:spacing w:after="40" w:before="40"/>
              <w:ind/>
              <w:rPr/>
            </w:pPr>
            <w:r>
              <w:rPr>
                <w:rFonts w:ascii="Times New Roman" w:hAnsi="Times New Roman" w:eastAsia="Times New Roman"/>
                <w:sz w:val="24"/>
              </w:rPr>
              <w:t xml:space="preserve">Frequency</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440" w:type="dxa"/>
            <w:vAlign w:val="center"/>
          </w:tcPr>
          <w:p>
            <w:pPr>
              <w:pBdr/>
              <w:spacing w:after="40" w:before="40"/>
              <w:ind/>
              <w:rPr/>
            </w:pPr>
            <w:r>
              <w:rPr>
                <w:rFonts w:ascii="Times New Roman" w:hAnsi="Times New Roman" w:eastAsia="Times New Roman"/>
                <w:sz w:val="24"/>
              </w:rPr>
              <w:t xml:space="preserve">Wavelength λ</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440" w:type="dxa"/>
            <w:vAlign w:val="center"/>
          </w:tcPr>
          <w:p>
            <w:pPr>
              <w:pBdr/>
              <w:spacing w:after="40" w:before="40"/>
              <w:ind/>
              <w:rPr/>
            </w:pPr>
            <w:r>
              <w:rPr>
                <w:rFonts w:ascii="Times New Roman" w:hAnsi="Times New Roman" w:eastAsia="Times New Roman"/>
                <w:sz w:val="24"/>
              </w:rPr>
              <w:t xml:space="preserve">FSPL at 100 m</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656" w:type="dxa"/>
            <w:vAlign w:val="center"/>
          </w:tcPr>
          <w:p>
            <w:pPr>
              <w:pBdr/>
              <w:spacing w:after="40" w:before="40"/>
              <w:ind/>
              <w:rPr/>
            </w:pPr>
            <w:r>
              <w:rPr>
                <w:rFonts w:ascii="Times New Roman" w:hAnsi="Times New Roman" w:eastAsia="Times New Roman"/>
                <w:sz w:val="24"/>
              </w:rPr>
              <w:t xml:space="preserve">Difference vs 900 MHz</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Planning interpretation</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224" w:type="dxa"/>
            <w:vAlign w:val="center"/>
          </w:tcPr>
          <w:p>
            <w:pPr>
              <w:pBdr/>
              <w:spacing w:after="40" w:before="40"/>
              <w:ind/>
              <w:rPr/>
            </w:pPr>
            <w:r>
              <w:rPr>
                <w:rFonts w:ascii="Times New Roman" w:hAnsi="Times New Roman" w:eastAsia="Times New Roman"/>
                <w:sz w:val="24"/>
              </w:rPr>
              <w:t xml:space="preserve">900 MHz</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440" w:type="dxa"/>
            <w:vAlign w:val="center"/>
          </w:tcPr>
          <w:p>
            <w:pPr>
              <w:pBdr/>
              <w:spacing w:after="40" w:before="40"/>
              <w:ind/>
              <w:rPr/>
            </w:pPr>
            <w:r>
              <w:rPr>
                <w:rFonts w:ascii="Times New Roman" w:hAnsi="Times New Roman" w:eastAsia="Times New Roman"/>
                <w:sz w:val="24"/>
              </w:rPr>
              <w:t xml:space="preserve">0.3333 m</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440" w:type="dxa"/>
            <w:vAlign w:val="center"/>
          </w:tcPr>
          <w:p>
            <w:pPr>
              <w:pBdr/>
              <w:spacing w:after="40" w:before="40"/>
              <w:ind/>
              <w:rPr/>
            </w:pPr>
            <w:r>
              <w:rPr>
                <w:rFonts w:ascii="Times New Roman" w:hAnsi="Times New Roman" w:eastAsia="Times New Roman"/>
                <w:sz w:val="24"/>
              </w:rPr>
              <w:t xml:space="preserve">71.53 dB</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656" w:type="dxa"/>
            <w:vAlign w:val="center"/>
          </w:tcPr>
          <w:p>
            <w:pPr>
              <w:pBdr/>
              <w:spacing w:after="40" w:before="40"/>
              <w:ind/>
              <w:rPr/>
            </w:pPr>
            <w:r>
              <w:rPr>
                <w:rFonts w:ascii="Times New Roman" w:hAnsi="Times New Roman" w:eastAsia="Times New Roman"/>
                <w:sz w:val="24"/>
              </w:rPr>
              <w:t xml:space="preserve">0 dB</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Better general coverage and penetration; suitable for rural/low-band coverage, but bandwidth may be limited.</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224" w:type="dxa"/>
            <w:vAlign w:val="center"/>
          </w:tcPr>
          <w:p>
            <w:pPr>
              <w:pBdr/>
              <w:spacing w:after="40" w:before="40"/>
              <w:ind/>
              <w:rPr/>
            </w:pPr>
            <w:r>
              <w:rPr>
                <w:rFonts w:ascii="Times New Roman" w:hAnsi="Times New Roman" w:eastAsia="Times New Roman"/>
                <w:sz w:val="24"/>
              </w:rPr>
              <w:t xml:space="preserve">3.5 GHz</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440" w:type="dxa"/>
            <w:vAlign w:val="center"/>
          </w:tcPr>
          <w:p>
            <w:pPr>
              <w:pBdr/>
              <w:spacing w:after="40" w:before="40"/>
              <w:ind/>
              <w:rPr/>
            </w:pPr>
            <w:r>
              <w:rPr>
                <w:rFonts w:ascii="Times New Roman" w:hAnsi="Times New Roman" w:eastAsia="Times New Roman"/>
                <w:sz w:val="24"/>
              </w:rPr>
              <w:t xml:space="preserve">0.0857 m</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440" w:type="dxa"/>
            <w:vAlign w:val="center"/>
          </w:tcPr>
          <w:p>
            <w:pPr>
              <w:pBdr/>
              <w:spacing w:after="40" w:before="40"/>
              <w:ind/>
              <w:rPr/>
            </w:pPr>
            <w:r>
              <w:rPr>
                <w:rFonts w:ascii="Times New Roman" w:hAnsi="Times New Roman" w:eastAsia="Times New Roman"/>
                <w:sz w:val="24"/>
              </w:rPr>
              <w:t xml:space="preserve">83.32 dB</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656" w:type="dxa"/>
            <w:vAlign w:val="center"/>
          </w:tcPr>
          <w:p>
            <w:pPr>
              <w:pBdr/>
              <w:spacing w:after="40" w:before="40"/>
              <w:ind/>
              <w:rPr/>
            </w:pPr>
            <w:r>
              <w:rPr>
                <w:rFonts w:ascii="Times New Roman" w:hAnsi="Times New Roman" w:eastAsia="Times New Roman"/>
                <w:sz w:val="24"/>
              </w:rPr>
              <w:t xml:space="preserve">+11.80 dB</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Useful coverage-capacity balance for urban/suburban areas; denser sites than low-band may be required.</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224" w:type="dxa"/>
            <w:vAlign w:val="center"/>
          </w:tcPr>
          <w:p>
            <w:pPr>
              <w:pBdr/>
              <w:spacing w:after="40" w:before="40"/>
              <w:ind/>
              <w:rPr/>
            </w:pPr>
            <w:r>
              <w:rPr>
                <w:rFonts w:ascii="Times New Roman" w:hAnsi="Times New Roman" w:eastAsia="Times New Roman"/>
                <w:sz w:val="24"/>
              </w:rPr>
              <w:t xml:space="preserve">28 GHz</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440" w:type="dxa"/>
            <w:vAlign w:val="center"/>
          </w:tcPr>
          <w:p>
            <w:pPr>
              <w:pBdr/>
              <w:spacing w:after="40" w:before="40"/>
              <w:ind/>
              <w:rPr/>
            </w:pPr>
            <w:r>
              <w:rPr>
                <w:rFonts w:ascii="Times New Roman" w:hAnsi="Times New Roman" w:eastAsia="Times New Roman"/>
                <w:sz w:val="24"/>
              </w:rPr>
              <w:t xml:space="preserve">0.0107 m</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440" w:type="dxa"/>
            <w:vAlign w:val="center"/>
          </w:tcPr>
          <w:p>
            <w:pPr>
              <w:pBdr/>
              <w:spacing w:after="40" w:before="40"/>
              <w:ind/>
              <w:rPr/>
            </w:pPr>
            <w:r>
              <w:rPr>
                <w:rFonts w:ascii="Times New Roman" w:hAnsi="Times New Roman" w:eastAsia="Times New Roman"/>
                <w:sz w:val="24"/>
              </w:rPr>
              <w:t xml:space="preserve">101.38 dB</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656" w:type="dxa"/>
            <w:vAlign w:val="center"/>
          </w:tcPr>
          <w:p>
            <w:pPr>
              <w:pBdr/>
              <w:spacing w:after="40" w:before="40"/>
              <w:ind/>
              <w:rPr/>
            </w:pPr>
            <w:r>
              <w:rPr>
                <w:rFonts w:ascii="Times New Roman" w:hAnsi="Times New Roman" w:eastAsia="Times New Roman"/>
                <w:sz w:val="24"/>
              </w:rPr>
              <w:t xml:space="preserve">+29.86 dB</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744" w:type="dxa"/>
            <w:vAlign w:val="center"/>
          </w:tcPr>
          <w:p>
            <w:pPr>
              <w:pBdr/>
              <w:spacing w:after="40" w:before="40"/>
              <w:ind/>
              <w:rPr/>
            </w:pPr>
            <w:r>
              <w:rPr>
                <w:rFonts w:ascii="Times New Roman" w:hAnsi="Times New Roman" w:eastAsia="Times New Roman"/>
                <w:sz w:val="24"/>
              </w:rPr>
              <w:t xml:space="preserve">Large bandwidth potential and compact arrays; blockage and penetration challenges make it best for hotspots and short high-capacity links.</w:t>
            </w:r>
            <w:r/>
          </w:p>
        </w:tc>
      </w:tr>
    </w:tbl>
    <w:p>
      <w:pPr>
        <w:pBdr/>
        <w:spacing/>
        <w:ind/>
        <w:rPr/>
      </w:pPr>
      <w:r/>
      <w:r/>
    </w:p>
    <w:p>
      <w:pPr>
        <w:pBdr/>
        <w:spacing/>
        <w:ind/>
        <w:jc w:val="both"/>
        <w:rPr/>
      </w:pPr>
      <w:r>
        <w:t xml:space="preserve">Higher frequency increases free-space loss at the same distance in this comparison, but it does not alone determine achievable performance. Available bandwidth, antenna aperture and gain, beamforming, transmitter power limi</w:t>
      </w:r>
      <w:r>
        <w:t xml:space="preserve">ts, receiver noise, blockage, deployment density and interference also matter. The wavelength is smaller at higher frequency, which supports smaller antenna elements and dense arrays, but practical coverage can be strongly affected by buildings and people.</w:t>
      </w:r>
      <w:r/>
    </w:p>
    <w:p>
      <w:pPr>
        <w:pStyle w:val="706"/>
        <w:pBdr/>
        <w:spacing/>
        <w:ind/>
        <w:rPr/>
      </w:pPr>
      <w:r>
        <w:t xml:space="preserve">7.1 Spectrum recommendation</w:t>
      </w:r>
      <w:r/>
    </w:p>
    <w:p>
      <w:pPr>
        <w:pStyle w:val="735"/>
        <w:pBdr/>
        <w:spacing/>
        <w:ind w:left="360"/>
        <w:rPr/>
      </w:pPr>
      <w:r>
        <w:rPr>
          <w:rFonts w:ascii="Times New Roman" w:hAnsi="Times New Roman"/>
          <w:sz w:val="24"/>
        </w:rPr>
        <w:t xml:space="preserve">900 MHz: use as a wide-area coverage and resilience layer, especially for rural routes, indoor reach and basic IoT.</w:t>
      </w:r>
      <w:r/>
    </w:p>
    <w:p>
      <w:pPr>
        <w:pStyle w:val="735"/>
        <w:pBdr/>
        <w:spacing/>
        <w:ind w:left="360"/>
        <w:rPr/>
      </w:pPr>
      <w:r>
        <w:rPr>
          <w:rFonts w:ascii="Times New Roman" w:hAnsi="Times New Roman"/>
          <w:sz w:val="24"/>
        </w:rPr>
        <w:t xml:space="preserve">3.5 GHz: use as the primary capacity layer across towns, cities, campuses, industrial areas and transport corridors.</w:t>
      </w:r>
      <w:r/>
    </w:p>
    <w:p>
      <w:pPr>
        <w:pStyle w:val="735"/>
        <w:pBdr/>
        <w:spacing/>
        <w:ind w:left="360"/>
        <w:rPr/>
      </w:pPr>
      <w:r>
        <w:rPr>
          <w:rFonts w:ascii="Times New Roman" w:hAnsi="Times New Roman"/>
          <w:sz w:val="24"/>
        </w:rPr>
        <w:t xml:space="preserve">28 GHz: use selectively for dense hotspots, fixed wireless access and high-throughput venues after confirming line-of-sight and site economics.</w:t>
      </w:r>
      <w:r/>
    </w:p>
    <w:p>
      <w:pPr>
        <w:pStyle w:val="705"/>
        <w:pBdr/>
        <w:spacing/>
        <w:ind/>
        <w:rPr/>
      </w:pPr>
      <w:r>
        <w:t xml:space="preserve">8. International spectrum coordination</w:t>
      </w:r>
      <w:r/>
    </w:p>
    <w:p>
      <w:pPr>
        <w:pBdr/>
        <w:spacing/>
        <w:ind/>
        <w:jc w:val="both"/>
        <w:rPr/>
      </w:pPr>
      <w:r>
        <w:t xml:space="preserve">The International Telecommunication Union Radiocommunication Sector (ITU-R) develops international radiocommunication recommendations and studies spectrum sharing and compatibility. The World Radiocommunication Conference (WRC) revises the Rad</w:t>
      </w:r>
      <w:r>
        <w:t xml:space="preserve">io Regulations and agrees international allocations and regulatory provisions. The Radiocommunication Bureau (BR) supports the ITU-R process, including coordination, notification and recording of frequency assignments and related regulatory administration.</w:t>
      </w:r>
      <w:r/>
    </w:p>
    <w:p>
      <w:pPr>
        <w:pBdr/>
        <w:spacing/>
        <w:ind/>
        <w:jc w:val="both"/>
        <w:rPr/>
      </w:pPr>
      <w:r>
        <w:t xml:space="preserve">International coordination affects national regulators because national band plans and licensing decisions need t</w:t>
      </w:r>
      <w:r>
        <w:t xml:space="preserve">o remain compatible with international allocations and cross-border interference obligations. Operators must therefore check national spectrum licences, band-specific technical conditions, coexistence requirements and border coordination before deployment.</w:t>
      </w:r>
      <w:r/>
    </w:p>
    <w:p>
      <w:pPr>
        <w:pStyle w:val="705"/>
        <w:pBdr/>
        <w:spacing/>
        <w:ind/>
        <w:rPr/>
      </w:pPr>
      <w:r>
        <w:t xml:space="preserve">9. Integrated network architecture and deployment recommendation</w:t>
      </w:r>
      <w:r/>
    </w:p>
    <w:p>
      <w:pPr>
        <w:pBdr/>
        <w:spacing/>
        <w:ind/>
        <w:rPr/>
      </w:pPr>
      <w:r>
        <mc:AlternateContent>
          <mc:Choice Requires="wpg">
            <w:drawing>
              <wp:inline xmlns:wp="http://schemas.openxmlformats.org/drawingml/2006/wordprocessingDrawing" distT="0" distB="0" distL="0" distR="0">
                <wp:extent cx="5669280" cy="2791667"/>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architecture.png"/>
                        <pic:cNvPicPr>
                          <a:picLocks noChangeAspect="1"/>
                        </pic:cNvPicPr>
                        <pic:nvPr/>
                      </pic:nvPicPr>
                      <pic:blipFill rotWithShape="1">
                        <a:blip r:embed="rId12"/>
                        <a:stretch/>
                      </pic:blipFill>
                      <pic:spPr bwMode="auto">
                        <a:xfrm>
                          <a:off x="0" y="0"/>
                          <a:ext cx="5669280" cy="27916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6.40pt;height:219.82pt;mso-wrap-distance-left:0.00pt;mso-wrap-distance-top:0.00pt;mso-wrap-distance-right:0.00pt;mso-wrap-distance-bottom:0.00pt;z-index:1;" stroked="false">
                <v:imagedata r:id="rId12" o:title=""/>
                <o:lock v:ext="edit" rotation="t"/>
              </v:shape>
            </w:pict>
          </mc:Fallback>
        </mc:AlternateContent>
      </w:r>
      <w:r/>
    </w:p>
    <w:p>
      <w:pPr>
        <w:pBdr/>
        <w:spacing/>
        <w:ind/>
        <w:jc w:val="center"/>
        <w:rPr/>
      </w:pPr>
      <w:r>
        <w:t xml:space="preserve">Figure 3. Conceptual architecture for the proposed regional network.</w:t>
      </w:r>
      <w:r/>
    </w:p>
    <w:p>
      <w:pPr>
        <w:pBdr/>
        <w:spacing/>
        <w:ind/>
        <w:jc w:val="both"/>
        <w:rPr/>
      </w:pPr>
      <w:r>
        <w:t xml:space="preserve">The recommended architecture uses macro gNodeBs as the broad coverage and mobility layer, mid-band radio for capacity, and targeted small cells for hotspots</w:t>
      </w:r>
      <w:r>
        <w:t xml:space="preserve">. A 5G Core provides control and user-plane functions; local edge computing reduces the transport distance for time-sensitive applications. A future 6G evolution path should be treated as a roadmap rather than as a presently deployable standardized system.</w:t>
      </w:r>
      <w:r/>
    </w:p>
    <w:p>
      <w:pPr>
        <w:pStyle w:val="706"/>
        <w:pBdr/>
        <w:spacing/>
        <w:ind/>
        <w:rPr/>
      </w:pPr>
      <w:r>
        <w:t xml:space="preserve">9.1 Logical network slices</w:t>
      </w:r>
      <w:r/>
    </w:p>
    <w:tbl>
      <w:tblPr>
        <w:jc w:val="center"/>
        <w:tblW w:w="0" w:type="auto"/>
        <w:tblBorders/>
        <w:tblLayout w:type="fixed"/>
        <w:tblLook w:val="04A0" w:firstRow="1" w:lastRow="0" w:firstColumn="1" w:lastColumn="0" w:noHBand="0" w:noVBand="1"/>
      </w:tblPr>
      <w:tblGrid>
        <w:gridCol w:w="3120"/>
        <w:gridCol w:w="3120"/>
        <w:gridCol w:w="3120"/>
      </w:tblGrid>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584" w:type="dxa"/>
            <w:vAlign w:val="center"/>
          </w:tcPr>
          <w:p>
            <w:pPr>
              <w:pBdr/>
              <w:spacing w:after="40" w:before="40"/>
              <w:ind/>
              <w:rPr/>
            </w:pPr>
            <w:r>
              <w:rPr>
                <w:rFonts w:ascii="Times New Roman" w:hAnsi="Times New Roman" w:eastAsia="Times New Roman"/>
                <w:sz w:val="24"/>
              </w:rPr>
              <w:t xml:space="preserve">Slice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456" w:type="dxa"/>
            <w:vAlign w:val="center"/>
          </w:tcPr>
          <w:p>
            <w:pPr>
              <w:pBdr/>
              <w:spacing w:after="40" w:before="40"/>
              <w:ind/>
              <w:rPr/>
            </w:pPr>
            <w:r>
              <w:rPr>
                <w:rFonts w:ascii="Times New Roman" w:hAnsi="Times New Roman" w:eastAsia="Times New Roman"/>
                <w:sz w:val="24"/>
              </w:rPr>
              <w:t xml:space="preserve">Target services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176" w:type="dxa"/>
            <w:vAlign w:val="center"/>
          </w:tcPr>
          <w:p>
            <w:pPr>
              <w:pBdr/>
              <w:spacing w:after="40" w:before="40"/>
              <w:ind/>
              <w:rPr/>
            </w:pPr>
            <w:r>
              <w:rPr>
                <w:rFonts w:ascii="Times New Roman" w:hAnsi="Times New Roman" w:eastAsia="Times New Roman"/>
                <w:sz w:val="24"/>
              </w:rPr>
              <w:t xml:space="preserve">Design treatment</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584" w:type="dxa"/>
            <w:vAlign w:val="center"/>
          </w:tcPr>
          <w:p>
            <w:pPr>
              <w:pBdr/>
              <w:spacing w:after="40" w:before="40"/>
              <w:ind/>
              <w:rPr/>
            </w:pPr>
            <w:r>
              <w:rPr>
                <w:rFonts w:ascii="Times New Roman" w:hAnsi="Times New Roman" w:eastAsia="Times New Roman"/>
                <w:sz w:val="24"/>
              </w:rPr>
              <w:t xml:space="preserve">eMBB</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456" w:type="dxa"/>
            <w:vAlign w:val="center"/>
          </w:tcPr>
          <w:p>
            <w:pPr>
              <w:pBdr/>
              <w:spacing w:after="40" w:before="40"/>
              <w:ind/>
              <w:rPr/>
            </w:pPr>
            <w:r>
              <w:rPr>
                <w:rFonts w:ascii="Times New Roman" w:hAnsi="Times New Roman" w:eastAsia="Times New Roman"/>
                <w:sz w:val="24"/>
              </w:rPr>
              <w:t xml:space="preserve">High-definition video, broadband and high user throughput</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176" w:type="dxa"/>
            <w:vAlign w:val="center"/>
          </w:tcPr>
          <w:p>
            <w:pPr>
              <w:pBdr/>
              <w:spacing w:after="40" w:before="40"/>
              <w:ind/>
              <w:rPr/>
            </w:pPr>
            <w:r>
              <w:rPr>
                <w:rFonts w:ascii="Times New Roman" w:hAnsi="Times New Roman" w:eastAsia="Times New Roman"/>
                <w:sz w:val="24"/>
              </w:rPr>
              <w:t xml:space="preserve">High-throughput scheduling, sufficient mid-band bandwidth, congestion control.</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584" w:type="dxa"/>
            <w:vAlign w:val="center"/>
          </w:tcPr>
          <w:p>
            <w:pPr>
              <w:pBdr/>
              <w:spacing w:after="40" w:before="40"/>
              <w:ind/>
              <w:rPr/>
            </w:pPr>
            <w:r>
              <w:rPr>
                <w:rFonts w:ascii="Times New Roman" w:hAnsi="Times New Roman" w:eastAsia="Times New Roman"/>
                <w:sz w:val="24"/>
              </w:rPr>
              <w:t xml:space="preserve">URLLC</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456" w:type="dxa"/>
            <w:vAlign w:val="center"/>
          </w:tcPr>
          <w:p>
            <w:pPr>
              <w:pBdr/>
              <w:spacing w:after="40" w:before="40"/>
              <w:ind/>
              <w:rPr/>
            </w:pPr>
            <w:r>
              <w:rPr>
                <w:rFonts w:ascii="Times New Roman" w:hAnsi="Times New Roman" w:eastAsia="Times New Roman"/>
                <w:sz w:val="24"/>
              </w:rPr>
              <w:t xml:space="preserve">Vehicle coordination, industrial control and selected remote-care functions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176" w:type="dxa"/>
            <w:vAlign w:val="center"/>
          </w:tcPr>
          <w:p>
            <w:pPr>
              <w:pBdr/>
              <w:spacing w:after="40" w:before="40"/>
              <w:ind/>
              <w:rPr/>
            </w:pPr>
            <w:r>
              <w:rPr>
                <w:rFonts w:ascii="Times New Roman" w:hAnsi="Times New Roman" w:eastAsia="Times New Roman"/>
                <w:sz w:val="24"/>
              </w:rPr>
              <w:t xml:space="preserve">Prioritized QoS, low-latency edge path, redundancy and tested failover.</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584" w:type="dxa"/>
            <w:vAlign w:val="center"/>
          </w:tcPr>
          <w:p>
            <w:pPr>
              <w:pBdr/>
              <w:spacing w:after="40" w:before="40"/>
              <w:ind/>
              <w:rPr/>
            </w:pPr>
            <w:r>
              <w:rPr>
                <w:rFonts w:ascii="Times New Roman" w:hAnsi="Times New Roman" w:eastAsia="Times New Roman"/>
                <w:sz w:val="24"/>
              </w:rPr>
              <w:t xml:space="preserve">mMTC</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456" w:type="dxa"/>
            <w:vAlign w:val="center"/>
          </w:tcPr>
          <w:p>
            <w:pPr>
              <w:pBdr/>
              <w:spacing w:after="40" w:before="40"/>
              <w:ind/>
              <w:rPr/>
            </w:pPr>
            <w:r>
              <w:rPr>
                <w:rFonts w:ascii="Times New Roman" w:hAnsi="Times New Roman" w:eastAsia="Times New Roman"/>
                <w:sz w:val="24"/>
              </w:rPr>
              <w:t xml:space="preserve">Large populations of sensors and low-rate IoT devices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176" w:type="dxa"/>
            <w:vAlign w:val="center"/>
          </w:tcPr>
          <w:p>
            <w:pPr>
              <w:pBdr/>
              <w:spacing w:after="40" w:before="40"/>
              <w:ind/>
              <w:rPr/>
            </w:pPr>
            <w:r>
              <w:rPr>
                <w:rFonts w:ascii="Times New Roman" w:hAnsi="Times New Roman" w:eastAsia="Times New Roman"/>
                <w:sz w:val="24"/>
              </w:rPr>
              <w:t xml:space="preserve">Efficient signaling, device grouping, power saving and scalable access.</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584" w:type="dxa"/>
            <w:vAlign w:val="center"/>
          </w:tcPr>
          <w:p>
            <w:pPr>
              <w:pBdr/>
              <w:spacing w:after="40" w:before="40"/>
              <w:ind/>
              <w:rPr/>
            </w:pPr>
            <w:r>
              <w:rPr>
                <w:rFonts w:ascii="Times New Roman" w:hAnsi="Times New Roman" w:eastAsia="Times New Roman"/>
                <w:sz w:val="24"/>
              </w:rPr>
              <w:t xml:space="preserve">Public safety</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3456" w:type="dxa"/>
            <w:vAlign w:val="center"/>
          </w:tcPr>
          <w:p>
            <w:pPr>
              <w:pBdr/>
              <w:spacing w:after="40" w:before="40"/>
              <w:ind/>
              <w:rPr/>
            </w:pPr>
            <w:r>
              <w:rPr>
                <w:rFonts w:ascii="Times New Roman" w:hAnsi="Times New Roman" w:eastAsia="Times New Roman"/>
                <w:sz w:val="24"/>
              </w:rPr>
              <w:t xml:space="preserve">Emergency communications and disaster response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176" w:type="dxa"/>
            <w:vAlign w:val="center"/>
          </w:tcPr>
          <w:p>
            <w:pPr>
              <w:pBdr/>
              <w:spacing w:after="40" w:before="40"/>
              <w:ind/>
              <w:rPr/>
            </w:pPr>
            <w:r>
              <w:rPr>
                <w:rFonts w:ascii="Times New Roman" w:hAnsi="Times New Roman" w:eastAsia="Times New Roman"/>
                <w:sz w:val="24"/>
              </w:rPr>
              <w:t xml:space="preserve">Priority/pre-emption where supported, resilient core/backhaul and fallback coverage.</w:t>
            </w:r>
            <w:r/>
          </w:p>
        </w:tc>
      </w:tr>
    </w:tbl>
    <w:p>
      <w:pPr>
        <w:pBdr/>
        <w:spacing/>
        <w:ind/>
        <w:rPr/>
      </w:pPr>
      <w:r/>
      <w:r/>
    </w:p>
    <w:p>
      <w:pPr>
        <w:pStyle w:val="705"/>
        <w:pBdr/>
        <w:spacing/>
        <w:ind/>
        <w:rPr/>
      </w:pPr>
      <w:r>
        <w:t xml:space="preserve">9.2 Core, edge, AI and security</w:t>
      </w:r>
      <w:r/>
    </w:p>
    <w:p>
      <w:pPr>
        <w:pStyle w:val="735"/>
        <w:pBdr/>
        <w:spacing/>
        <w:ind w:left="360"/>
        <w:rPr/>
      </w:pPr>
      <w:r>
        <w:rPr>
          <w:rFonts w:ascii="Times New Roman" w:hAnsi="Times New Roman"/>
          <w:sz w:val="24"/>
        </w:rPr>
        <w:t xml:space="preserve">AMF manages ac</w:t>
      </w:r>
      <w:r>
        <w:rPr>
          <w:rFonts w:ascii="Times New Roman" w:hAnsi="Times New Roman"/>
          <w:sz w:val="24"/>
        </w:rPr>
        <w:t xml:space="preserve">cess and mobility signaling; SMF manages session establishment and user-plane selection; UPF forwards user traffic and can be placed near edge sites for local breakout. Policy, authentication and data-management functions complete the service-control path.</w:t>
      </w:r>
      <w:r/>
    </w:p>
    <w:p>
      <w:pPr>
        <w:pStyle w:val="735"/>
        <w:pBdr/>
        <w:spacing/>
        <w:ind w:left="360"/>
        <w:rPr/>
      </w:pPr>
      <w:r>
        <w:rPr>
          <w:rFonts w:ascii="Times New Roman" w:hAnsi="Times New Roman"/>
          <w:sz w:val="24"/>
        </w:rPr>
        <w:t xml:space="preserve">Place edge compute near major transport corridors, hospitals and industrial campuses when latency measurements justify it. Keep regional cloud resources for analytics and workloads that do not require local response.</w:t>
      </w:r>
      <w:r/>
    </w:p>
    <w:p>
      <w:pPr>
        <w:pStyle w:val="735"/>
        <w:pBdr/>
        <w:spacing/>
        <w:ind w:left="360"/>
        <w:rPr/>
      </w:pPr>
      <w:r>
        <w:rPr>
          <w:rFonts w:ascii="Times New Roman" w:hAnsi="Times New Roman"/>
          <w:sz w:val="24"/>
        </w:rPr>
        <w:t xml:space="preserve">Use AI-assisted traffic forecasting and radio-resource management as an optimization layer. Begin with a rule-based or conventional scheduling baseline, then compare the AI method using throughput, latency, blocking, fairness and energy metrics.</w:t>
      </w:r>
      <w:r/>
    </w:p>
    <w:p>
      <w:pPr>
        <w:pStyle w:val="735"/>
        <w:pBdr/>
        <w:spacing/>
        <w:ind w:left="360"/>
        <w:rPr/>
      </w:pPr>
      <w:r>
        <w:rPr>
          <w:rFonts w:ascii="Times New Roman" w:hAnsi="Times New Roman"/>
          <w:sz w:val="24"/>
        </w:rPr>
        <w:t xml:space="preserve">Apply mutual authentication, encryption in transit, least-privilege access, secure management interfaces, software updates, anomaly detection, redundant backhaul and documented recovery procedures.</w:t>
      </w:r>
      <w:r/>
    </w:p>
    <w:p>
      <w:pPr>
        <w:pStyle w:val="735"/>
        <w:pBdr/>
        <w:spacing/>
        <w:ind w:left="360"/>
        <w:rPr/>
      </w:pPr>
      <w:r>
        <w:rPr>
          <w:rFonts w:ascii="Times New Roman" w:hAnsi="Times New Roman"/>
          <w:sz w:val="24"/>
        </w:rPr>
        <w:t xml:space="preserve">Reduce energy use with adaptive sleep modes during low demand, efficient radio configurations, renewable-energy options where viable, and infrastructure sharing when it does not compromise resilience.</w:t>
      </w:r>
      <w:r/>
    </w:p>
    <w:p>
      <w:pPr>
        <w:pStyle w:val="706"/>
        <w:pBdr/>
        <w:spacing/>
        <w:ind/>
        <w:rPr/>
      </w:pPr>
      <w:r>
        <w:t xml:space="preserve">9.3 State/region-independent rollout phases</w:t>
      </w:r>
      <w:r/>
    </w:p>
    <w:tbl>
      <w:tblPr>
        <w:jc w:val="center"/>
        <w:tblW w:w="0" w:type="auto"/>
        <w:tblBorders/>
        <w:tblLayout w:type="fixed"/>
        <w:tblLook w:val="04A0" w:firstRow="1" w:lastRow="0" w:firstColumn="1" w:lastColumn="0" w:noHBand="0" w:noVBand="1"/>
      </w:tblPr>
      <w:tblGrid>
        <w:gridCol w:w="3120"/>
        <w:gridCol w:w="3120"/>
        <w:gridCol w:w="3120"/>
      </w:tblGrid>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Phase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464" w:type="dxa"/>
            <w:vAlign w:val="center"/>
          </w:tcPr>
          <w:p>
            <w:pPr>
              <w:pBdr/>
              <w:spacing w:after="40" w:before="40"/>
              <w:ind/>
              <w:rPr/>
            </w:pPr>
            <w:r>
              <w:rPr>
                <w:rFonts w:ascii="Times New Roman" w:hAnsi="Times New Roman" w:eastAsia="Times New Roman"/>
                <w:sz w:val="24"/>
              </w:rPr>
              <w:t xml:space="preserve">Deployment action</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952" w:type="dxa"/>
            <w:vAlign w:val="center"/>
          </w:tcPr>
          <w:p>
            <w:pPr>
              <w:pBdr/>
              <w:spacing w:after="40" w:before="40"/>
              <w:ind/>
              <w:rPr/>
            </w:pPr>
            <w:r>
              <w:rPr>
                <w:rFonts w:ascii="Times New Roman" w:hAnsi="Times New Roman" w:eastAsia="Times New Roman"/>
                <w:sz w:val="24"/>
              </w:rPr>
              <w:t xml:space="preserve">Validation gate</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1. Baseline and survey</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464" w:type="dxa"/>
            <w:vAlign w:val="center"/>
          </w:tcPr>
          <w:p>
            <w:pPr>
              <w:pBdr/>
              <w:spacing w:after="40" w:before="40"/>
              <w:ind/>
              <w:rPr/>
            </w:pPr>
            <w:r>
              <w:rPr>
                <w:rFonts w:ascii="Times New Roman" w:hAnsi="Times New Roman" w:eastAsia="Times New Roman"/>
                <w:sz w:val="24"/>
              </w:rPr>
              <w:t xml:space="preserve">Collect busy-hour traffic, coverage, terrain/building data, existing assets and spectrum licence details.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952" w:type="dxa"/>
            <w:vAlign w:val="center"/>
          </w:tcPr>
          <w:p>
            <w:pPr>
              <w:pBdr/>
              <w:spacing w:after="40" w:before="40"/>
              <w:ind/>
              <w:rPr/>
            </w:pPr>
            <w:r>
              <w:rPr>
                <w:rFonts w:ascii="Times New Roman" w:hAnsi="Times New Roman" w:eastAsia="Times New Roman"/>
                <w:sz w:val="24"/>
              </w:rPr>
              <w:t xml:space="preserve">Drive-test coverage and interference maps; verified traffic forecast.</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2. Coverage foundation</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464" w:type="dxa"/>
            <w:vAlign w:val="center"/>
          </w:tcPr>
          <w:p>
            <w:pPr>
              <w:pBdr/>
              <w:spacing w:after="40" w:before="40"/>
              <w:ind/>
              <w:rPr/>
            </w:pPr>
            <w:r>
              <w:rPr>
                <w:rFonts w:ascii="Times New Roman" w:hAnsi="Times New Roman" w:eastAsia="Times New Roman"/>
                <w:sz w:val="24"/>
              </w:rPr>
              <w:t xml:space="preserve">Optimize low-band macro coverage and core/backhaul resilience.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952" w:type="dxa"/>
            <w:vAlign w:val="center"/>
          </w:tcPr>
          <w:p>
            <w:pPr>
              <w:pBdr/>
              <w:spacing w:after="40" w:before="40"/>
              <w:ind/>
              <w:rPr/>
            </w:pPr>
            <w:r>
              <w:rPr>
                <w:rFonts w:ascii="Times New Roman" w:hAnsi="Times New Roman" w:eastAsia="Times New Roman"/>
                <w:sz w:val="24"/>
              </w:rPr>
              <w:t xml:space="preserve">Coverage holes, emergency reachability and mobility success meet targets.</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3. Capacity layer</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464" w:type="dxa"/>
            <w:vAlign w:val="center"/>
          </w:tcPr>
          <w:p>
            <w:pPr>
              <w:pBdr/>
              <w:spacing w:after="40" w:before="40"/>
              <w:ind/>
              <w:rPr/>
            </w:pPr>
            <w:r>
              <w:rPr>
                <w:rFonts w:ascii="Times New Roman" w:hAnsi="Times New Roman" w:eastAsia="Times New Roman"/>
                <w:sz w:val="24"/>
              </w:rPr>
              <w:t xml:space="preserve">Deploy 3.5 GHz capacity and add small cells only at measured hotspots.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952" w:type="dxa"/>
            <w:vAlign w:val="center"/>
          </w:tcPr>
          <w:p>
            <w:pPr>
              <w:pBdr/>
              <w:spacing w:after="40" w:before="40"/>
              <w:ind/>
              <w:rPr/>
            </w:pPr>
            <w:r>
              <w:rPr>
                <w:rFonts w:ascii="Times New Roman" w:hAnsi="Times New Roman" w:eastAsia="Times New Roman"/>
                <w:sz w:val="24"/>
              </w:rPr>
              <w:t xml:space="preserve">Cell utilization, throughput and blocking meet agreed targets.</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4. Critical services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464" w:type="dxa"/>
            <w:vAlign w:val="center"/>
          </w:tcPr>
          <w:p>
            <w:pPr>
              <w:pBdr/>
              <w:spacing w:after="40" w:before="40"/>
              <w:ind/>
              <w:rPr/>
            </w:pPr>
            <w:r>
              <w:rPr>
                <w:rFonts w:ascii="Times New Roman" w:hAnsi="Times New Roman" w:eastAsia="Times New Roman"/>
                <w:sz w:val="24"/>
              </w:rPr>
              <w:t xml:space="preserve">Add edge sites and dedicated QoS/slices for transport, healthcare, industrial and public safety.</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952" w:type="dxa"/>
            <w:vAlign w:val="center"/>
          </w:tcPr>
          <w:p>
            <w:pPr>
              <w:pBdr/>
              <w:spacing w:after="40" w:before="40"/>
              <w:ind/>
              <w:rPr/>
            </w:pPr>
            <w:r>
              <w:rPr>
                <w:rFonts w:ascii="Times New Roman" w:hAnsi="Times New Roman" w:eastAsia="Times New Roman"/>
                <w:sz w:val="24"/>
              </w:rPr>
              <w:t xml:space="preserve">End-to-end latency, reliability and failover tests pass application-specific limits.</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5. High-capacity hotspots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464" w:type="dxa"/>
            <w:vAlign w:val="center"/>
          </w:tcPr>
          <w:p>
            <w:pPr>
              <w:pBdr/>
              <w:spacing w:after="40" w:before="40"/>
              <w:ind/>
              <w:rPr/>
            </w:pPr>
            <w:r>
              <w:rPr>
                <w:rFonts w:ascii="Times New Roman" w:hAnsi="Times New Roman" w:eastAsia="Times New Roman"/>
                <w:sz w:val="24"/>
              </w:rPr>
              <w:t xml:space="preserve">Trial 28 GHz where blockage, site density and economics support it.</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952" w:type="dxa"/>
            <w:vAlign w:val="center"/>
          </w:tcPr>
          <w:p>
            <w:pPr>
              <w:pBdr/>
              <w:spacing w:after="40" w:before="40"/>
              <w:ind/>
              <w:rPr/>
            </w:pPr>
            <w:r>
              <w:rPr>
                <w:rFonts w:ascii="Times New Roman" w:hAnsi="Times New Roman" w:eastAsia="Times New Roman"/>
                <w:sz w:val="24"/>
              </w:rPr>
              <w:t xml:space="preserve">Measured throughput and availability justify operating cost.</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1800" w:type="dxa"/>
            <w:vAlign w:val="center"/>
          </w:tcPr>
          <w:p>
            <w:pPr>
              <w:pBdr/>
              <w:spacing w:after="40" w:before="40"/>
              <w:ind/>
              <w:rPr/>
            </w:pPr>
            <w:r>
              <w:rPr>
                <w:rFonts w:ascii="Times New Roman" w:hAnsi="Times New Roman" w:eastAsia="Times New Roman"/>
                <w:sz w:val="24"/>
              </w:rPr>
              <w:t xml:space="preserve">6. 6G readiness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4464" w:type="dxa"/>
            <w:vAlign w:val="center"/>
          </w:tcPr>
          <w:p>
            <w:pPr>
              <w:pBdr/>
              <w:spacing w:after="40" w:before="40"/>
              <w:ind/>
              <w:rPr/>
            </w:pPr>
            <w:r>
              <w:rPr>
                <w:rFonts w:ascii="Times New Roman" w:hAnsi="Times New Roman" w:eastAsia="Times New Roman"/>
                <w:sz w:val="24"/>
              </w:rPr>
              <w:t xml:space="preserve">Evaluate AI-native networking and ISAC through pilots as standards and equipment mature.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952" w:type="dxa"/>
            <w:vAlign w:val="center"/>
          </w:tcPr>
          <w:p>
            <w:pPr>
              <w:pBdr/>
              <w:spacing w:after="40" w:before="40"/>
              <w:ind/>
              <w:rPr/>
            </w:pPr>
            <w:r>
              <w:rPr>
                <w:rFonts w:ascii="Times New Roman" w:hAnsi="Times New Roman" w:eastAsia="Times New Roman"/>
                <w:sz w:val="24"/>
              </w:rPr>
              <w:t xml:space="preserve">Interoperability, safety, energy and cost evidence before scale-up.</w:t>
            </w:r>
            <w:r/>
          </w:p>
        </w:tc>
      </w:tr>
    </w:tbl>
    <w:p>
      <w:pPr>
        <w:pBdr/>
        <w:spacing/>
        <w:ind/>
        <w:rPr/>
      </w:pPr>
      <w:r/>
      <w:r/>
    </w:p>
    <w:p>
      <w:pPr>
        <w:pStyle w:val="705"/>
        <w:pBdr/>
        <w:spacing/>
        <w:ind/>
        <w:rPr/>
      </w:pPr>
      <w:r>
        <w:t xml:space="preserve">10. Verification and performance indicators</w:t>
      </w:r>
      <w:r/>
    </w:p>
    <w:tbl>
      <w:tblPr>
        <w:jc w:val="center"/>
        <w:tblW w:w="0" w:type="auto"/>
        <w:tblBorders/>
        <w:tblLayout w:type="fixed"/>
        <w:tblLook w:val="04A0" w:firstRow="1" w:lastRow="0" w:firstColumn="1" w:lastColumn="0" w:noHBand="0" w:noVBand="1"/>
      </w:tblPr>
      <w:tblGrid>
        <w:gridCol w:w="2340"/>
        <w:gridCol w:w="2340"/>
        <w:gridCol w:w="2340"/>
        <w:gridCol w:w="2340"/>
      </w:tblGrid>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88" w:type="dxa"/>
            <w:vAlign w:val="center"/>
          </w:tcPr>
          <w:p>
            <w:pPr>
              <w:pBdr/>
              <w:spacing w:after="40" w:before="40"/>
              <w:ind/>
              <w:rPr/>
            </w:pPr>
            <w:r>
              <w:rPr>
                <w:rFonts w:ascii="Times New Roman" w:hAnsi="Times New Roman" w:eastAsia="Times New Roman"/>
                <w:sz w:val="24"/>
              </w:rPr>
              <w:t xml:space="preserve">Requirement / calculation</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20" w:type="dxa"/>
            <w:vAlign w:val="center"/>
          </w:tcPr>
          <w:p>
            <w:pPr>
              <w:pBdr/>
              <w:spacing w:after="40" w:before="40"/>
              <w:ind/>
              <w:rPr/>
            </w:pPr>
            <w:r>
              <w:rPr>
                <w:rFonts w:ascii="Times New Roman" w:hAnsi="Times New Roman" w:eastAsia="Times New Roman"/>
                <w:sz w:val="24"/>
              </w:rPr>
              <w:t xml:space="preserve">Design response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92" w:type="dxa"/>
            <w:vAlign w:val="center"/>
          </w:tcPr>
          <w:p>
            <w:pPr>
              <w:pBdr/>
              <w:spacing w:after="40" w:before="40"/>
              <w:ind/>
              <w:rPr/>
            </w:pPr>
            <w:r>
              <w:rPr>
                <w:rFonts w:ascii="Times New Roman" w:hAnsi="Times New Roman" w:eastAsia="Times New Roman"/>
                <w:sz w:val="24"/>
              </w:rPr>
              <w:t xml:space="preserve">Evidence to collect</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16" w:type="dxa"/>
            <w:vAlign w:val="center"/>
          </w:tcPr>
          <w:p>
            <w:pPr>
              <w:pBdr/>
              <w:spacing w:after="40" w:before="40"/>
              <w:ind/>
              <w:rPr/>
            </w:pPr>
            <w:r>
              <w:rPr>
                <w:rFonts w:ascii="Times New Roman" w:hAnsi="Times New Roman" w:eastAsia="Times New Roman"/>
                <w:sz w:val="24"/>
              </w:rPr>
              <w:t xml:space="preserve">Status from analytical model</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88" w:type="dxa"/>
            <w:vAlign w:val="center"/>
          </w:tcPr>
          <w:p>
            <w:pPr>
              <w:pBdr/>
              <w:spacing w:after="40" w:before="40"/>
              <w:ind/>
              <w:rPr/>
            </w:pPr>
            <w:r>
              <w:rPr>
                <w:rFonts w:ascii="Times New Roman" w:hAnsi="Times New Roman" w:eastAsia="Times New Roman"/>
                <w:sz w:val="24"/>
              </w:rPr>
              <w:t xml:space="preserve">Busy-hour traffic 80 Erlangs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20" w:type="dxa"/>
            <w:vAlign w:val="center"/>
          </w:tcPr>
          <w:p>
            <w:pPr>
              <w:pBdr/>
              <w:spacing w:after="40" w:before="40"/>
              <w:ind/>
              <w:rPr/>
            </w:pPr>
            <w:r>
              <w:rPr>
                <w:rFonts w:ascii="Times New Roman" w:hAnsi="Times New Roman" w:eastAsia="Times New Roman"/>
                <w:sz w:val="24"/>
              </w:rPr>
              <w:t xml:space="preserve">Traffic model and Erlang B sizing</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92" w:type="dxa"/>
            <w:vAlign w:val="center"/>
          </w:tcPr>
          <w:p>
            <w:pPr>
              <w:pBdr/>
              <w:spacing w:after="40" w:before="40"/>
              <w:ind/>
              <w:rPr/>
            </w:pPr>
            <w:r>
              <w:rPr>
                <w:rFonts w:ascii="Times New Roman" w:hAnsi="Times New Roman" w:eastAsia="Times New Roman"/>
                <w:sz w:val="24"/>
              </w:rPr>
              <w:t xml:space="preserve">Per-cell traffic distribution and call holding-time data</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16" w:type="dxa"/>
            <w:vAlign w:val="center"/>
          </w:tcPr>
          <w:p>
            <w:pPr>
              <w:pBdr/>
              <w:spacing w:after="40" w:before="40"/>
              <w:ind/>
              <w:rPr/>
            </w:pPr>
            <w:r>
              <w:rPr>
                <w:rFonts w:ascii="Times New Roman" w:hAnsi="Times New Roman" w:eastAsia="Times New Roman"/>
                <w:sz w:val="24"/>
              </w:rPr>
              <w:t xml:space="preserve">Calculated; site distribution still required</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88" w:type="dxa"/>
            <w:vAlign w:val="center"/>
          </w:tcPr>
          <w:p>
            <w:pPr>
              <w:pBdr/>
              <w:spacing w:after="40" w:before="40"/>
              <w:ind/>
              <w:rPr/>
            </w:pPr>
            <w:r>
              <w:rPr>
                <w:rFonts w:ascii="Times New Roman" w:hAnsi="Times New Roman" w:eastAsia="Times New Roman"/>
                <w:sz w:val="24"/>
              </w:rPr>
              <w:t xml:space="preserve">Blocking ≤ 2%</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20" w:type="dxa"/>
            <w:vAlign w:val="center"/>
          </w:tcPr>
          <w:p>
            <w:pPr>
              <w:pBdr/>
              <w:spacing w:after="40" w:before="40"/>
              <w:ind/>
              <w:rPr/>
            </w:pPr>
            <w:r>
              <w:rPr>
                <w:rFonts w:ascii="Times New Roman" w:hAnsi="Times New Roman" w:eastAsia="Times New Roman"/>
                <w:sz w:val="24"/>
              </w:rPr>
              <w:t xml:space="preserve">At least 92 channels for 80 Erlangs in ideal Erlang B model</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92" w:type="dxa"/>
            <w:vAlign w:val="center"/>
          </w:tcPr>
          <w:p>
            <w:pPr>
              <w:pBdr/>
              <w:spacing w:after="40" w:before="40"/>
              <w:ind/>
              <w:rPr/>
            </w:pPr>
            <w:r>
              <w:rPr>
                <w:rFonts w:ascii="Times New Roman" w:hAnsi="Times New Roman" w:eastAsia="Times New Roman"/>
                <w:sz w:val="24"/>
              </w:rPr>
              <w:t xml:space="preserve">Busy-hour blocking and handoff traffic</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16" w:type="dxa"/>
            <w:vAlign w:val="center"/>
          </w:tcPr>
          <w:p>
            <w:pPr>
              <w:pBdr/>
              <w:spacing w:after="40" w:before="40"/>
              <w:ind/>
              <w:rPr/>
            </w:pPr>
            <w:r>
              <w:rPr>
                <w:rFonts w:ascii="Times New Roman" w:hAnsi="Times New Roman" w:eastAsia="Times New Roman"/>
                <w:sz w:val="24"/>
              </w:rPr>
              <w:t xml:space="preserve">Meets in aggregate idealized model</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88" w:type="dxa"/>
            <w:vAlign w:val="center"/>
          </w:tcPr>
          <w:p>
            <w:pPr>
              <w:pBdr/>
              <w:spacing w:after="40" w:before="40"/>
              <w:ind/>
              <w:rPr/>
            </w:pPr>
            <w:r>
              <w:rPr>
                <w:rFonts w:ascii="Times New Roman" w:hAnsi="Times New Roman" w:eastAsia="Times New Roman"/>
                <w:sz w:val="24"/>
              </w:rPr>
              <w:t xml:space="preserve">Reuse cluster N = 7</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20" w:type="dxa"/>
            <w:vAlign w:val="center"/>
          </w:tcPr>
          <w:p>
            <w:pPr>
              <w:pBdr/>
              <w:spacing w:after="40" w:before="40"/>
              <w:ind/>
              <w:rPr/>
            </w:pPr>
            <w:r>
              <w:rPr>
                <w:rFonts w:ascii="Times New Roman" w:hAnsi="Times New Roman" w:eastAsia="Times New Roman"/>
                <w:sz w:val="24"/>
              </w:rPr>
              <w:t xml:space="preserve">Reuse fraction 1/7; D ≈ 9.165 km</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92" w:type="dxa"/>
            <w:vAlign w:val="center"/>
          </w:tcPr>
          <w:p>
            <w:pPr>
              <w:pBdr/>
              <w:spacing w:after="40" w:before="40"/>
              <w:ind/>
              <w:rPr/>
            </w:pPr>
            <w:r>
              <w:rPr>
                <w:rFonts w:ascii="Times New Roman" w:hAnsi="Times New Roman" w:eastAsia="Times New Roman"/>
                <w:sz w:val="24"/>
              </w:rPr>
              <w:t xml:space="preserve">RF plan and measured co-channel interference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16" w:type="dxa"/>
            <w:vAlign w:val="center"/>
          </w:tcPr>
          <w:p>
            <w:pPr>
              <w:pBdr/>
              <w:spacing w:after="40" w:before="40"/>
              <w:ind/>
              <w:rPr/>
            </w:pPr>
            <w:r>
              <w:rPr>
                <w:rFonts w:ascii="Times New Roman" w:hAnsi="Times New Roman" w:eastAsia="Times New Roman"/>
                <w:sz w:val="24"/>
              </w:rPr>
              <w:t xml:space="preserve">Geometric estimate only</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88" w:type="dxa"/>
            <w:vAlign w:val="center"/>
          </w:tcPr>
          <w:p>
            <w:pPr>
              <w:pBdr/>
              <w:spacing w:after="40" w:before="40"/>
              <w:ind/>
              <w:rPr/>
            </w:pPr>
            <w:r>
              <w:rPr>
                <w:rFonts w:ascii="Times New Roman" w:hAnsi="Times New Roman" w:eastAsia="Times New Roman"/>
                <w:sz w:val="24"/>
              </w:rPr>
              <w:t xml:space="preserve">SINR ≥ 15 dB</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20" w:type="dxa"/>
            <w:vAlign w:val="center"/>
          </w:tcPr>
          <w:p>
            <w:pPr>
              <w:pBdr/>
              <w:spacing w:after="40" w:before="40"/>
              <w:ind/>
              <w:rPr/>
            </w:pPr>
            <w:r>
              <w:rPr>
                <w:rFonts w:ascii="Times New Roman" w:hAnsi="Times New Roman" w:eastAsia="Times New Roman"/>
                <w:sz w:val="24"/>
              </w:rPr>
              <w:t xml:space="preserve">Coordinate channels, beams, sectors and filters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92" w:type="dxa"/>
            <w:vAlign w:val="center"/>
          </w:tcPr>
          <w:p>
            <w:pPr>
              <w:pBdr/>
              <w:spacing w:after="40" w:before="40"/>
              <w:ind/>
              <w:rPr/>
            </w:pPr>
            <w:r>
              <w:rPr>
                <w:rFonts w:ascii="Times New Roman" w:hAnsi="Times New Roman" w:eastAsia="Times New Roman"/>
                <w:sz w:val="24"/>
              </w:rPr>
              <w:t xml:space="preserve">SINR maps across load and mobility</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16" w:type="dxa"/>
            <w:vAlign w:val="center"/>
          </w:tcPr>
          <w:p>
            <w:pPr>
              <w:pBdr/>
              <w:spacing w:after="40" w:before="40"/>
              <w:ind/>
              <w:rPr/>
            </w:pPr>
            <w:r>
              <w:rPr>
                <w:rFonts w:ascii="Times New Roman" w:hAnsi="Times New Roman" w:eastAsia="Times New Roman"/>
                <w:sz w:val="24"/>
              </w:rPr>
              <w:t xml:space="preserve">Supplied case fails at ≈ 13.81 dB</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88" w:type="dxa"/>
            <w:vAlign w:val="center"/>
          </w:tcPr>
          <w:p>
            <w:pPr>
              <w:pBdr/>
              <w:spacing w:after="40" w:before="40"/>
              <w:ind/>
              <w:rPr/>
            </w:pPr>
            <w:r>
              <w:rPr>
                <w:rFonts w:ascii="Times New Roman" w:hAnsi="Times New Roman" w:eastAsia="Times New Roman"/>
                <w:sz w:val="24"/>
              </w:rPr>
              <w:t xml:space="preserve">Mobility continuity</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20" w:type="dxa"/>
            <w:vAlign w:val="center"/>
          </w:tcPr>
          <w:p>
            <w:pPr>
              <w:pBdr/>
              <w:spacing w:after="40" w:before="40"/>
              <w:ind/>
              <w:rPr/>
            </w:pPr>
            <w:r>
              <w:rPr>
                <w:rFonts w:ascii="Times New Roman" w:hAnsi="Times New Roman" w:eastAsia="Times New Roman"/>
                <w:sz w:val="24"/>
              </w:rPr>
              <w:t xml:space="preserve">Optimize handoff thresholds and neighbor relations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92" w:type="dxa"/>
            <w:vAlign w:val="center"/>
          </w:tcPr>
          <w:p>
            <w:pPr>
              <w:pBdr/>
              <w:spacing w:after="40" w:before="40"/>
              <w:ind/>
              <w:rPr/>
            </w:pPr>
            <w:r>
              <w:rPr>
                <w:rFonts w:ascii="Times New Roman" w:hAnsi="Times New Roman" w:eastAsia="Times New Roman"/>
                <w:sz w:val="24"/>
              </w:rPr>
              <w:t xml:space="preserve">Handover success, interruption, drop and ping-pong rates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16" w:type="dxa"/>
            <w:vAlign w:val="center"/>
          </w:tcPr>
          <w:p>
            <w:pPr>
              <w:pBdr/>
              <w:spacing w:after="40" w:before="40"/>
              <w:ind/>
              <w:rPr/>
            </w:pPr>
            <w:r>
              <w:rPr>
                <w:rFonts w:ascii="Times New Roman" w:hAnsi="Times New Roman" w:eastAsia="Times New Roman"/>
                <w:sz w:val="24"/>
              </w:rPr>
              <w:t xml:space="preserve">Simple estimates only</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88" w:type="dxa"/>
            <w:vAlign w:val="center"/>
          </w:tcPr>
          <w:p>
            <w:pPr>
              <w:pBdr/>
              <w:spacing w:after="40" w:before="40"/>
              <w:ind/>
              <w:rPr/>
            </w:pPr>
            <w:r>
              <w:rPr>
                <w:rFonts w:ascii="Times New Roman" w:hAnsi="Times New Roman" w:eastAsia="Times New Roman"/>
                <w:sz w:val="24"/>
              </w:rPr>
              <w:t xml:space="preserve">Spectrum-band choice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20" w:type="dxa"/>
            <w:vAlign w:val="center"/>
          </w:tcPr>
          <w:p>
            <w:pPr>
              <w:pBdr/>
              <w:spacing w:after="40" w:before="40"/>
              <w:ind/>
              <w:rPr/>
            </w:pPr>
            <w:r>
              <w:rPr>
                <w:rFonts w:ascii="Times New Roman" w:hAnsi="Times New Roman" w:eastAsia="Times New Roman"/>
                <w:sz w:val="24"/>
              </w:rPr>
              <w:t xml:space="preserve">Low band coverage, 3.5 GHz capacity, selective 28 GHz</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92" w:type="dxa"/>
            <w:vAlign w:val="center"/>
          </w:tcPr>
          <w:p>
            <w:pPr>
              <w:pBdr/>
              <w:spacing w:after="40" w:before="40"/>
              <w:ind/>
              <w:rPr/>
            </w:pPr>
            <w:r>
              <w:rPr>
                <w:rFonts w:ascii="Times New Roman" w:hAnsi="Times New Roman" w:eastAsia="Times New Roman"/>
                <w:sz w:val="24"/>
              </w:rPr>
              <w:t xml:space="preserve">Coverage, throughput, blockage and site-cost measurements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16" w:type="dxa"/>
            <w:vAlign w:val="center"/>
          </w:tcPr>
          <w:p>
            <w:pPr>
              <w:pBdr/>
              <w:spacing w:after="40" w:before="40"/>
              <w:ind/>
              <w:rPr/>
            </w:pPr>
            <w:r>
              <w:rPr>
                <w:rFonts w:ascii="Times New Roman" w:hAnsi="Times New Roman" w:eastAsia="Times New Roman"/>
                <w:sz w:val="24"/>
              </w:rPr>
              <w:t xml:space="preserve">FSPL comparison calculated</w:t>
            </w:r>
            <w:r/>
          </w:p>
        </w:tc>
      </w:tr>
      <w:tr>
        <w:trPr/>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88" w:type="dxa"/>
            <w:vAlign w:val="center"/>
          </w:tcPr>
          <w:p>
            <w:pPr>
              <w:pBdr/>
              <w:spacing w:after="40" w:before="40"/>
              <w:ind/>
              <w:rPr/>
            </w:pPr>
            <w:r>
              <w:rPr>
                <w:rFonts w:ascii="Times New Roman" w:hAnsi="Times New Roman" w:eastAsia="Times New Roman"/>
                <w:sz w:val="24"/>
              </w:rPr>
              <w:t xml:space="preserve">Energy and resilience</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20" w:type="dxa"/>
            <w:vAlign w:val="center"/>
          </w:tcPr>
          <w:p>
            <w:pPr>
              <w:pBdr/>
              <w:spacing w:after="40" w:before="40"/>
              <w:ind/>
              <w:rPr/>
            </w:pPr>
            <w:r>
              <w:rPr>
                <w:rFonts w:ascii="Times New Roman" w:hAnsi="Times New Roman" w:eastAsia="Times New Roman"/>
                <w:sz w:val="24"/>
              </w:rPr>
              <w:t xml:space="preserve">Sleep modes, redundant backhaul and recovery plans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592" w:type="dxa"/>
            <w:vAlign w:val="center"/>
          </w:tcPr>
          <w:p>
            <w:pPr>
              <w:pBdr/>
              <w:spacing w:after="40" w:before="40"/>
              <w:ind/>
              <w:rPr/>
            </w:pPr>
            <w:r>
              <w:rPr>
                <w:rFonts w:ascii="Times New Roman" w:hAnsi="Times New Roman" w:eastAsia="Times New Roman"/>
                <w:sz w:val="24"/>
              </w:rPr>
              <w:t xml:space="preserve">Energy per bit, outage duration and failover results</w:t>
            </w:r>
            <w:r/>
          </w:p>
        </w:tc>
        <w:tc>
          <w:tcPr>
            <w:tcBorders>
              <w:top w:val="single" w:color="000000" w:sz="6" w:space="0"/>
              <w:left w:val="single" w:color="000000" w:sz="6" w:space="0"/>
              <w:bottom w:val="single" w:color="000000" w:sz="6" w:space="0"/>
              <w:right w:val="single" w:color="000000" w:sz="6" w:space="0"/>
              <w:insideH w:val="single" w:color="000000" w:sz="6" w:space="0"/>
              <w:insideV w:val="single" w:color="000000" w:sz="6" w:space="0"/>
            </w:tcBorders>
            <w:tcW w:w="2016" w:type="dxa"/>
            <w:vAlign w:val="center"/>
          </w:tcPr>
          <w:p>
            <w:pPr>
              <w:pBdr/>
              <w:spacing w:after="40" w:before="40"/>
              <w:ind/>
              <w:rPr/>
            </w:pPr>
            <w:r>
              <w:rPr>
                <w:rFonts w:ascii="Times New Roman" w:hAnsi="Times New Roman" w:eastAsia="Times New Roman"/>
                <w:sz w:val="24"/>
              </w:rPr>
              <w:t xml:space="preserve">Requires field validation</w:t>
            </w:r>
            <w:r/>
          </w:p>
        </w:tc>
      </w:tr>
    </w:tbl>
    <w:p>
      <w:pPr>
        <w:pBdr/>
        <w:spacing/>
        <w:ind/>
        <w:rPr/>
      </w:pPr>
      <w:r/>
      <w:r/>
    </w:p>
    <w:p>
      <w:pPr>
        <w:pStyle w:val="705"/>
        <w:pBdr/>
        <w:spacing/>
        <w:ind/>
        <w:rPr/>
      </w:pPr>
      <w:r>
        <w:t xml:space="preserve">11. Final recommendation</w:t>
      </w:r>
      <w:r/>
    </w:p>
    <w:p>
      <w:pPr>
        <w:pBdr/>
        <w:spacing/>
        <w:ind/>
        <w:jc w:val="both"/>
        <w:rPr/>
      </w:pPr>
      <w:r>
        <w:t xml:space="preserve">Recommend deployment with staged validation. First, verify traffic distribution and coverage using surveys and drive tests. Maintain low-band macro coverage for reach and resilience, </w:t>
      </w:r>
      <w:r>
        <w:t xml:space="preserve">use 3.5 GHz as the main capacity layer, and add micro/pico cells where measured demand justifies densification. Reserve 28 GHz for short-range high-capacity locations where line-of-sight and economics are favorable. The calculated cell area is approximatel</w:t>
      </w:r>
      <w:r>
        <w:t xml:space="preserve">y 10.392 km², the 19-cell geometric cluster area is 197.454 km², and the N = 7 reuse distance is approximately 9.165 km. Offered traffic is 80 Erlangs; 92 channels meet the 2% Erlang-B target, while 100 channels yield about 0.399% blocking under the model.</w:t>
      </w:r>
      <w:r/>
    </w:p>
    <w:p>
      <w:pPr>
        <w:pBdr/>
        <w:spacing/>
        <w:ind/>
        <w:jc w:val="both"/>
        <w:rPr/>
      </w:pPr>
      <w:r>
        <w:t xml:space="preserve">The interference example is the clearest immediate issue: co-channel-on</w:t>
      </w:r>
      <w:r>
        <w:t xml:space="preserve">ly C/I equals 15 dB, but combined co-channel and adjacent-channel interference gives about 13.81 dB, below the target. Interference mitigation and measured margin should therefore precede capacity expansion in affected areas. For mobility, the 6-second ove</w:t>
      </w:r>
      <w:r>
        <w:t xml:space="preserve">rlap corresponds to 100 m of travel at 60 km/h, and the simplified route interpretation implies about one handoff per minute. Critical services need measured end-to-end interruption and reliability evidence rather than reliance on this simplified estimate.</w:t>
      </w:r>
      <w:r/>
    </w:p>
    <w:p>
      <w:pPr>
        <w:pBdr/>
        <w:spacing/>
        <w:ind/>
        <w:jc w:val="both"/>
        <w:rPr/>
      </w:pPr>
      <w:r>
        <w:t xml:space="preserve">The design should proceed only after confirming actual licensed bandwidth, traffic geography, terrain and indoor losses, antenna configuration, backhaul capacity, power const</w:t>
      </w:r>
      <w:r>
        <w:t xml:space="preserve">raints, equipment availability, cybersecurity requirements and service-level targets. 6G concepts such as THz communication, AI-native networking and ISAC are included as future-facing options and should not be treated as currently guaranteed capabilities.</w:t>
      </w:r>
      <w:r/>
    </w:p>
    <w:p>
      <w:pPr>
        <w:pStyle w:val="705"/>
        <w:pBdr/>
        <w:spacing/>
        <w:ind/>
        <w:rPr/>
      </w:pPr>
      <w:r>
        <w:t xml:space="preserve">References</w:t>
      </w:r>
      <w:r/>
    </w:p>
    <w:p>
      <w:pPr>
        <w:pStyle w:val="735"/>
        <w:pBdr/>
        <w:spacing/>
        <w:ind w:left="360"/>
        <w:rPr/>
      </w:pPr>
      <w:r>
        <w:rPr>
          <w:rFonts w:ascii="Times New Roman" w:hAnsi="Times New Roman"/>
          <w:sz w:val="24"/>
        </w:rPr>
        <w:t xml:space="preserve">UNIT 1 Assignment. ECA56 Advanced Wireless Communication Systems: CO1 Integrated Engineering Analysis and Planning Assignment. Supplied course document.</w:t>
      </w:r>
      <w:r/>
    </w:p>
    <w:p>
      <w:pPr>
        <w:pStyle w:val="735"/>
        <w:pBdr/>
        <w:spacing/>
        <w:ind w:left="360"/>
        <w:rPr/>
      </w:pPr>
      <w:r>
        <w:rPr>
          <w:rFonts w:ascii="Times New Roman" w:hAnsi="Times New Roman"/>
          <w:sz w:val="24"/>
        </w:rPr>
        <w:t xml:space="preserve">CO-1 Assignment Question Paper. ECA56 Advanced Wireless Communication Systems. Supplied assessment brief.</w:t>
      </w:r>
      <w:r/>
    </w:p>
    <w:p>
      <w:pPr>
        <w:pStyle w:val="735"/>
        <w:pBdr/>
        <w:spacing/>
        <w:ind w:left="360"/>
        <w:rPr/>
      </w:pPr>
      <w:r>
        <w:rPr>
          <w:rFonts w:ascii="Times New Roman" w:hAnsi="Times New Roman"/>
          <w:sz w:val="24"/>
        </w:rPr>
        <w:t xml:space="preserve">International Telecommunication Union (ITU), Radiocommunication Sector (ITU-R), Radio Regulations and World Radiocommunication Conference materials.</w:t>
      </w:r>
      <w:r/>
    </w:p>
    <w:p>
      <w:pPr>
        <w:pStyle w:val="735"/>
        <w:pBdr/>
        <w:spacing/>
        <w:ind w:left="360"/>
        <w:rPr/>
      </w:pPr>
      <w:r>
        <w:rPr>
          <w:rFonts w:ascii="Times New Roman" w:hAnsi="Times New Roman"/>
          <w:sz w:val="24"/>
        </w:rPr>
        <w:t xml:space="preserve">3rd Generation Partnership Project (3GPP), specifications and technical reports for 5G System and NR.</w:t>
      </w:r>
      <w:r/>
    </w:p>
    <w:sectPr>
      <w:footerReference w:type="default" r:id="rId9"/>
      <w:footnotePr/>
      <w:endnotePr/>
      <w:type w:val="nextPage"/>
      <w:pgSz w:h="15840" w:orient="portrait" w:w="12240"/>
      <w:pgMar w:top="1080" w:right="1440" w:bottom="108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3"/>
      <w:pBdr/>
      <w:spacing/>
      <w:ind/>
      <w:jc w:val="center"/>
      <w:rPr/>
    </w:pPr>
    <w:r>
      <w:rPr>
        <w:rFonts w:ascii="Times New Roman" w:hAnsi="Times New Roman"/>
        <w:sz w:val="20"/>
      </w:rPr>
      <w:t xml:space="preserve">ECA5603  |  Mohamed Affan  |  </w:t>
    </w: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0"/>
    <w:link w:val="182"/>
    <w:uiPriority w:val="99"/>
    <w:semiHidden/>
    <w:unhideWhenUsed/>
    <w:pPr>
      <w:pBdr/>
      <w:spacing w:after="0" w:line="240" w:lineRule="auto"/>
      <w:ind/>
    </w:pPr>
    <w:rPr>
      <w:sz w:val="20"/>
      <w:szCs w:val="20"/>
    </w:rPr>
  </w:style>
  <w:style w:type="character" w:styleId="182">
    <w:name w:val="Footnote Text Char"/>
    <w:basedOn w:val="714"/>
    <w:link w:val="181"/>
    <w:uiPriority w:val="99"/>
    <w:semiHidden/>
    <w:pPr>
      <w:pBdr/>
      <w:spacing/>
      <w:ind/>
    </w:pPr>
    <w:rPr>
      <w:sz w:val="20"/>
      <w:szCs w:val="20"/>
    </w:rPr>
  </w:style>
  <w:style w:type="character" w:styleId="183">
    <w:name w:val="footnote reference"/>
    <w:basedOn w:val="714"/>
    <w:uiPriority w:val="99"/>
    <w:semiHidden/>
    <w:unhideWhenUsed/>
    <w:pPr>
      <w:pBdr/>
      <w:spacing/>
      <w:ind/>
    </w:pPr>
    <w:rPr>
      <w:vertAlign w:val="superscript"/>
    </w:rPr>
  </w:style>
  <w:style w:type="paragraph" w:styleId="184">
    <w:name w:val="endnote text"/>
    <w:basedOn w:val="700"/>
    <w:link w:val="185"/>
    <w:uiPriority w:val="99"/>
    <w:semiHidden/>
    <w:unhideWhenUsed/>
    <w:pPr>
      <w:pBdr/>
      <w:spacing w:after="0" w:line="240" w:lineRule="auto"/>
      <w:ind/>
    </w:pPr>
    <w:rPr>
      <w:sz w:val="20"/>
      <w:szCs w:val="20"/>
    </w:rPr>
  </w:style>
  <w:style w:type="character" w:styleId="185">
    <w:name w:val="Endnote Text Char"/>
    <w:basedOn w:val="714"/>
    <w:link w:val="184"/>
    <w:uiPriority w:val="99"/>
    <w:semiHidden/>
    <w:pPr>
      <w:pBdr/>
      <w:spacing/>
      <w:ind/>
    </w:pPr>
    <w:rPr>
      <w:sz w:val="20"/>
      <w:szCs w:val="20"/>
    </w:rPr>
  </w:style>
  <w:style w:type="character" w:styleId="186">
    <w:name w:val="endnote reference"/>
    <w:basedOn w:val="714"/>
    <w:uiPriority w:val="99"/>
    <w:semiHidden/>
    <w:unhideWhenUsed/>
    <w:pPr>
      <w:pBdr/>
      <w:spacing/>
      <w:ind/>
    </w:pPr>
    <w:rPr>
      <w:vertAlign w:val="superscript"/>
    </w:rPr>
  </w:style>
  <w:style w:type="character" w:styleId="187">
    <w:name w:val="Hyperlink"/>
    <w:basedOn w:val="714"/>
    <w:uiPriority w:val="99"/>
    <w:unhideWhenUsed/>
    <w:pPr>
      <w:pBdr/>
      <w:spacing/>
      <w:ind/>
    </w:pPr>
    <w:rPr>
      <w:color w:val="0563c1" w:themeColor="hyperlink"/>
      <w:u w:val="single"/>
    </w:rPr>
  </w:style>
  <w:style w:type="character" w:styleId="188">
    <w:name w:val="FollowedHyperlink"/>
    <w:basedOn w:val="714"/>
    <w:uiPriority w:val="99"/>
    <w:semiHidden/>
    <w:unhideWhenUsed/>
    <w:pPr>
      <w:pBdr/>
      <w:spacing/>
      <w:ind/>
    </w:pPr>
    <w:rPr>
      <w:color w:val="954f72" w:themeColor="followedHyperlink"/>
      <w:u w:val="single"/>
    </w:rPr>
  </w:style>
  <w:style w:type="paragraph" w:styleId="189">
    <w:name w:val="toc 1"/>
    <w:basedOn w:val="700"/>
    <w:next w:val="700"/>
    <w:uiPriority w:val="39"/>
    <w:unhideWhenUsed/>
    <w:pPr>
      <w:pBdr/>
      <w:spacing w:after="100"/>
      <w:ind/>
    </w:pPr>
  </w:style>
  <w:style w:type="paragraph" w:styleId="190">
    <w:name w:val="toc 2"/>
    <w:basedOn w:val="700"/>
    <w:next w:val="700"/>
    <w:uiPriority w:val="39"/>
    <w:unhideWhenUsed/>
    <w:pPr>
      <w:pBdr/>
      <w:spacing w:after="100"/>
      <w:ind w:left="220"/>
    </w:pPr>
  </w:style>
  <w:style w:type="paragraph" w:styleId="191">
    <w:name w:val="toc 3"/>
    <w:basedOn w:val="700"/>
    <w:next w:val="700"/>
    <w:uiPriority w:val="39"/>
    <w:unhideWhenUsed/>
    <w:pPr>
      <w:pBdr/>
      <w:spacing w:after="100"/>
      <w:ind w:left="440"/>
    </w:pPr>
  </w:style>
  <w:style w:type="paragraph" w:styleId="192">
    <w:name w:val="toc 4"/>
    <w:basedOn w:val="700"/>
    <w:next w:val="700"/>
    <w:uiPriority w:val="39"/>
    <w:unhideWhenUsed/>
    <w:pPr>
      <w:pBdr/>
      <w:spacing w:after="100"/>
      <w:ind w:left="660"/>
    </w:pPr>
  </w:style>
  <w:style w:type="paragraph" w:styleId="193">
    <w:name w:val="toc 5"/>
    <w:basedOn w:val="700"/>
    <w:next w:val="700"/>
    <w:uiPriority w:val="39"/>
    <w:unhideWhenUsed/>
    <w:pPr>
      <w:pBdr/>
      <w:spacing w:after="100"/>
      <w:ind w:left="880"/>
    </w:pPr>
  </w:style>
  <w:style w:type="paragraph" w:styleId="194">
    <w:name w:val="toc 6"/>
    <w:basedOn w:val="700"/>
    <w:next w:val="700"/>
    <w:uiPriority w:val="39"/>
    <w:unhideWhenUsed/>
    <w:pPr>
      <w:pBdr/>
      <w:spacing w:after="100"/>
      <w:ind w:left="1100"/>
    </w:pPr>
  </w:style>
  <w:style w:type="paragraph" w:styleId="195">
    <w:name w:val="toc 7"/>
    <w:basedOn w:val="700"/>
    <w:next w:val="700"/>
    <w:uiPriority w:val="39"/>
    <w:unhideWhenUsed/>
    <w:pPr>
      <w:pBdr/>
      <w:spacing w:after="100"/>
      <w:ind w:left="1320"/>
    </w:pPr>
  </w:style>
  <w:style w:type="paragraph" w:styleId="196">
    <w:name w:val="toc 8"/>
    <w:basedOn w:val="700"/>
    <w:next w:val="700"/>
    <w:uiPriority w:val="39"/>
    <w:unhideWhenUsed/>
    <w:pPr>
      <w:pBdr/>
      <w:spacing w:after="100"/>
      <w:ind w:left="1540"/>
    </w:pPr>
  </w:style>
  <w:style w:type="paragraph" w:styleId="197">
    <w:name w:val="toc 9"/>
    <w:basedOn w:val="700"/>
    <w:next w:val="700"/>
    <w:uiPriority w:val="39"/>
    <w:unhideWhenUsed/>
    <w:pPr>
      <w:pBdr/>
      <w:spacing w:after="100"/>
      <w:ind w:left="1760"/>
    </w:pPr>
  </w:style>
  <w:style w:type="character" w:styleId="198">
    <w:name w:val="Placeholder Text"/>
    <w:basedOn w:val="714"/>
    <w:uiPriority w:val="99"/>
    <w:semiHidden/>
    <w:pPr>
      <w:pBdr/>
      <w:spacing/>
      <w:ind/>
    </w:pPr>
    <w:rPr>
      <w:color w:val="666666"/>
    </w:rPr>
  </w:style>
  <w:style w:type="paragraph" w:styleId="209">
    <w:name w:val="table of figures"/>
    <w:basedOn w:val="700"/>
    <w:next w:val="700"/>
    <w:uiPriority w:val="99"/>
    <w:unhideWhenUsed/>
    <w:pPr>
      <w:pBdr/>
      <w:spacing w:after="0" w:afterAutospacing="0"/>
      <w:ind/>
    </w:pPr>
  </w:style>
  <w:style w:type="paragraph" w:styleId="700" w:default="1">
    <w:name w:val="Normal"/>
    <w:qFormat/>
    <w:pPr>
      <w:pBdr/>
      <w:spacing w:after="120" w:line="276" w:lineRule="auto"/>
      <w:ind/>
    </w:pPr>
    <w:rPr>
      <w:rFonts w:ascii="Times New Roman" w:hAnsi="Times New Roman" w:eastAsia="Times New Roman"/>
      <w:sz w:val="24"/>
    </w:rPr>
  </w:style>
  <w:style w:type="paragraph" w:styleId="701">
    <w:name w:val="Header"/>
    <w:basedOn w:val="700"/>
    <w:link w:val="702"/>
    <w:uiPriority w:val="99"/>
    <w:unhideWhenUsed/>
    <w:pPr>
      <w:pBdr/>
      <w:tabs>
        <w:tab w:val="center" w:leader="none" w:pos="4680"/>
        <w:tab w:val="right" w:leader="none" w:pos="9360"/>
      </w:tabs>
      <w:spacing w:after="0" w:line="240" w:lineRule="auto"/>
      <w:ind/>
    </w:pPr>
  </w:style>
  <w:style w:type="character" w:styleId="702" w:customStyle="1">
    <w:name w:val="Header Char"/>
    <w:basedOn w:val="714"/>
    <w:link w:val="701"/>
    <w:uiPriority w:val="99"/>
    <w:pPr>
      <w:pBdr/>
      <w:spacing/>
      <w:ind/>
    </w:pPr>
  </w:style>
  <w:style w:type="paragraph" w:styleId="703">
    <w:name w:val="Footer"/>
    <w:basedOn w:val="700"/>
    <w:link w:val="704"/>
    <w:uiPriority w:val="99"/>
    <w:unhideWhenUsed/>
    <w:pPr>
      <w:pBdr/>
      <w:tabs>
        <w:tab w:val="center" w:leader="none" w:pos="4680"/>
        <w:tab w:val="right" w:leader="none" w:pos="9360"/>
      </w:tabs>
      <w:spacing w:after="0" w:line="240" w:lineRule="auto"/>
      <w:ind/>
    </w:pPr>
  </w:style>
  <w:style w:type="character" w:styleId="704" w:customStyle="1">
    <w:name w:val="Footer Char"/>
    <w:basedOn w:val="714"/>
    <w:link w:val="703"/>
    <w:uiPriority w:val="99"/>
    <w:pPr>
      <w:pBdr/>
      <w:spacing/>
      <w:ind/>
    </w:pPr>
  </w:style>
  <w:style w:type="paragraph" w:styleId="705">
    <w:name w:val="Heading 1"/>
    <w:basedOn w:val="700"/>
    <w:next w:val="700"/>
    <w:link w:val="718"/>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sz w:val="28"/>
      <w:szCs w:val="28"/>
    </w:rPr>
  </w:style>
  <w:style w:type="paragraph" w:styleId="706">
    <w:name w:val="Heading 2"/>
    <w:basedOn w:val="700"/>
    <w:next w:val="700"/>
    <w:link w:val="719"/>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sz w:val="28"/>
      <w:szCs w:val="26"/>
    </w:rPr>
  </w:style>
  <w:style w:type="paragraph" w:styleId="707">
    <w:name w:val="Heading 3"/>
    <w:basedOn w:val="700"/>
    <w:next w:val="700"/>
    <w:link w:val="720"/>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sz w:val="28"/>
    </w:rPr>
  </w:style>
  <w:style w:type="paragraph" w:styleId="708">
    <w:name w:val="Heading 4"/>
    <w:basedOn w:val="700"/>
    <w:next w:val="700"/>
    <w:link w:val="74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9">
    <w:name w:val="Heading 5"/>
    <w:basedOn w:val="700"/>
    <w:next w:val="700"/>
    <w:link w:val="74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0">
    <w:name w:val="Heading 6"/>
    <w:basedOn w:val="700"/>
    <w:next w:val="700"/>
    <w:link w:val="75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1">
    <w:name w:val="Heading 7"/>
    <w:basedOn w:val="700"/>
    <w:next w:val="700"/>
    <w:link w:val="75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2">
    <w:name w:val="Heading 8"/>
    <w:basedOn w:val="700"/>
    <w:next w:val="700"/>
    <w:link w:val="75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3">
    <w:name w:val="Heading 9"/>
    <w:basedOn w:val="700"/>
    <w:next w:val="700"/>
    <w:link w:val="75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4" w:default="1">
    <w:name w:val="Default Paragraph Font"/>
    <w:uiPriority w:val="1"/>
    <w:semiHidden/>
    <w:unhideWhenUsed/>
    <w:pPr>
      <w:pBdr/>
      <w:spacing/>
      <w:ind/>
    </w:pPr>
  </w:style>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6" w:default="1">
    <w:name w:val="No List"/>
    <w:uiPriority w:val="99"/>
    <w:semiHidden/>
    <w:unhideWhenUsed/>
    <w:pPr>
      <w:pBdr/>
      <w:spacing/>
      <w:ind/>
    </w:pPr>
  </w:style>
  <w:style w:type="paragraph" w:styleId="717">
    <w:name w:val="No Spacing"/>
    <w:uiPriority w:val="1"/>
    <w:qFormat/>
    <w:pPr>
      <w:pBdr/>
      <w:spacing w:after="0" w:line="240" w:lineRule="auto"/>
      <w:ind/>
    </w:pPr>
  </w:style>
  <w:style w:type="character" w:styleId="718" w:customStyle="1">
    <w:name w:val="Heading 1 Char"/>
    <w:basedOn w:val="714"/>
    <w:link w:val="705"/>
    <w:uiPriority w:val="9"/>
    <w:pPr>
      <w:pBdr/>
      <w:spacing/>
      <w:ind/>
    </w:pPr>
    <w:rPr>
      <w:rFonts w:asciiTheme="majorHAnsi" w:hAnsiTheme="majorHAnsi" w:eastAsiaTheme="majorEastAsia" w:cstheme="majorBidi"/>
      <w:b/>
      <w:bCs/>
      <w:color w:val="365f91" w:themeColor="accent1" w:themeShade="BF"/>
      <w:sz w:val="28"/>
      <w:szCs w:val="28"/>
    </w:rPr>
  </w:style>
  <w:style w:type="character" w:styleId="719" w:customStyle="1">
    <w:name w:val="Heading 2 Char"/>
    <w:basedOn w:val="714"/>
    <w:link w:val="706"/>
    <w:uiPriority w:val="9"/>
    <w:pPr>
      <w:pBdr/>
      <w:spacing/>
      <w:ind/>
    </w:pPr>
    <w:rPr>
      <w:rFonts w:asciiTheme="majorHAnsi" w:hAnsiTheme="majorHAnsi" w:eastAsiaTheme="majorEastAsia" w:cstheme="majorBidi"/>
      <w:b/>
      <w:bCs/>
      <w:color w:val="4f81bd" w:themeColor="accent1"/>
      <w:sz w:val="26"/>
      <w:szCs w:val="26"/>
    </w:rPr>
  </w:style>
  <w:style w:type="character" w:styleId="720" w:customStyle="1">
    <w:name w:val="Heading 3 Char"/>
    <w:basedOn w:val="714"/>
    <w:link w:val="707"/>
    <w:uiPriority w:val="9"/>
    <w:pPr>
      <w:pBdr/>
      <w:spacing/>
      <w:ind/>
    </w:pPr>
    <w:rPr>
      <w:rFonts w:asciiTheme="majorHAnsi" w:hAnsiTheme="majorHAnsi" w:eastAsiaTheme="majorEastAsia" w:cstheme="majorBidi"/>
      <w:b/>
      <w:bCs/>
      <w:color w:val="4f81bd" w:themeColor="accent1"/>
    </w:rPr>
  </w:style>
  <w:style w:type="paragraph" w:styleId="721">
    <w:name w:val="Title"/>
    <w:basedOn w:val="700"/>
    <w:next w:val="700"/>
    <w:link w:val="722"/>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color w:val="17365d" w:themeColor="text2" w:themeShade="BF"/>
      <w:spacing w:val="5"/>
      <w:sz w:val="52"/>
      <w:szCs w:val="52"/>
    </w:rPr>
  </w:style>
  <w:style w:type="character" w:styleId="722" w:customStyle="1">
    <w:name w:val="Title Char"/>
    <w:basedOn w:val="714"/>
    <w:link w:val="72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3">
    <w:name w:val="Subtitle"/>
    <w:basedOn w:val="700"/>
    <w:next w:val="700"/>
    <w:link w:val="724"/>
    <w:uiPriority w:val="11"/>
    <w:qFormat/>
    <w:pPr>
      <w:numPr>
        <w:ilvl w:val="1"/>
      </w:numPr>
      <w:pBdr/>
      <w:spacing/>
      <w:ind/>
    </w:pPr>
    <w:rPr>
      <w:rFonts w:ascii="Times New Roman" w:hAnsi="Times New Roman" w:eastAsia="Times New Roman" w:asciiTheme="majorHAnsi" w:hAnsiTheme="majorHAnsi" w:eastAsiaTheme="majorEastAsia" w:cstheme="majorBidi"/>
      <w:i/>
      <w:iCs/>
      <w:color w:val="4f81bd" w:themeColor="accent1"/>
      <w:spacing w:val="15"/>
      <w:sz w:val="24"/>
      <w:szCs w:val="24"/>
    </w:rPr>
  </w:style>
  <w:style w:type="character" w:styleId="724" w:customStyle="1">
    <w:name w:val="Subtitle Char"/>
    <w:basedOn w:val="714"/>
    <w:link w:val="72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5">
    <w:name w:val="List Paragraph"/>
    <w:basedOn w:val="700"/>
    <w:uiPriority w:val="34"/>
    <w:qFormat/>
    <w:pPr>
      <w:pBdr/>
      <w:spacing/>
      <w:ind w:left="720"/>
      <w:contextualSpacing w:val="true"/>
    </w:pPr>
  </w:style>
  <w:style w:type="paragraph" w:styleId="726">
    <w:name w:val="Body Text"/>
    <w:basedOn w:val="700"/>
    <w:link w:val="727"/>
    <w:uiPriority w:val="99"/>
    <w:unhideWhenUsed/>
    <w:pPr>
      <w:pBdr/>
      <w:spacing w:after="120"/>
      <w:ind/>
    </w:pPr>
  </w:style>
  <w:style w:type="character" w:styleId="727" w:customStyle="1">
    <w:name w:val="Body Text Char"/>
    <w:basedOn w:val="714"/>
    <w:link w:val="726"/>
    <w:uiPriority w:val="99"/>
    <w:pPr>
      <w:pBdr/>
      <w:spacing/>
      <w:ind/>
    </w:pPr>
  </w:style>
  <w:style w:type="paragraph" w:styleId="728">
    <w:name w:val="Body Text 2"/>
    <w:basedOn w:val="700"/>
    <w:link w:val="729"/>
    <w:uiPriority w:val="99"/>
    <w:unhideWhenUsed/>
    <w:pPr>
      <w:pBdr/>
      <w:spacing w:after="120" w:line="480" w:lineRule="auto"/>
      <w:ind/>
    </w:pPr>
  </w:style>
  <w:style w:type="character" w:styleId="729" w:customStyle="1">
    <w:name w:val="Body Text 2 Char"/>
    <w:basedOn w:val="714"/>
    <w:link w:val="728"/>
    <w:uiPriority w:val="99"/>
    <w:pPr>
      <w:pBdr/>
      <w:spacing/>
      <w:ind/>
    </w:pPr>
  </w:style>
  <w:style w:type="paragraph" w:styleId="730">
    <w:name w:val="Body Text 3"/>
    <w:basedOn w:val="700"/>
    <w:link w:val="731"/>
    <w:uiPriority w:val="99"/>
    <w:unhideWhenUsed/>
    <w:pPr>
      <w:pBdr/>
      <w:spacing w:after="120"/>
      <w:ind/>
    </w:pPr>
    <w:rPr>
      <w:sz w:val="16"/>
      <w:szCs w:val="16"/>
    </w:rPr>
  </w:style>
  <w:style w:type="character" w:styleId="731" w:customStyle="1">
    <w:name w:val="Body Text 3 Char"/>
    <w:basedOn w:val="714"/>
    <w:link w:val="730"/>
    <w:uiPriority w:val="99"/>
    <w:pPr>
      <w:pBdr/>
      <w:spacing/>
      <w:ind/>
    </w:pPr>
    <w:rPr>
      <w:sz w:val="16"/>
      <w:szCs w:val="16"/>
    </w:rPr>
  </w:style>
  <w:style w:type="paragraph" w:styleId="732">
    <w:name w:val="List"/>
    <w:basedOn w:val="700"/>
    <w:uiPriority w:val="99"/>
    <w:unhideWhenUsed/>
    <w:pPr>
      <w:pBdr/>
      <w:spacing/>
      <w:ind w:hanging="360" w:left="360"/>
      <w:contextualSpacing w:val="true"/>
    </w:pPr>
  </w:style>
  <w:style w:type="paragraph" w:styleId="733">
    <w:name w:val="List 2"/>
    <w:basedOn w:val="700"/>
    <w:uiPriority w:val="99"/>
    <w:unhideWhenUsed/>
    <w:pPr>
      <w:pBdr/>
      <w:spacing/>
      <w:ind w:hanging="360" w:left="720"/>
      <w:contextualSpacing w:val="true"/>
    </w:pPr>
  </w:style>
  <w:style w:type="paragraph" w:styleId="734">
    <w:name w:val="List 3"/>
    <w:basedOn w:val="700"/>
    <w:uiPriority w:val="99"/>
    <w:unhideWhenUsed/>
    <w:pPr>
      <w:pBdr/>
      <w:spacing/>
      <w:ind w:hanging="360" w:left="1080"/>
      <w:contextualSpacing w:val="true"/>
    </w:pPr>
  </w:style>
  <w:style w:type="paragraph" w:styleId="735">
    <w:name w:val="List Bullet"/>
    <w:basedOn w:val="700"/>
    <w:uiPriority w:val="99"/>
    <w:unhideWhenUsed/>
    <w:pPr>
      <w:numPr>
        <w:numId w:val="1"/>
      </w:numPr>
      <w:pBdr/>
      <w:spacing/>
      <w:ind/>
      <w:contextualSpacing w:val="true"/>
    </w:pPr>
  </w:style>
  <w:style w:type="paragraph" w:styleId="736">
    <w:name w:val="List Bullet 2"/>
    <w:basedOn w:val="700"/>
    <w:uiPriority w:val="99"/>
    <w:unhideWhenUsed/>
    <w:pPr>
      <w:numPr>
        <w:numId w:val="2"/>
      </w:numPr>
      <w:pBdr/>
      <w:spacing/>
      <w:ind/>
      <w:contextualSpacing w:val="true"/>
    </w:pPr>
  </w:style>
  <w:style w:type="paragraph" w:styleId="737">
    <w:name w:val="List Bullet 3"/>
    <w:basedOn w:val="700"/>
    <w:uiPriority w:val="99"/>
    <w:unhideWhenUsed/>
    <w:pPr>
      <w:numPr>
        <w:numId w:val="3"/>
      </w:numPr>
      <w:pBdr/>
      <w:spacing/>
      <w:ind/>
      <w:contextualSpacing w:val="true"/>
    </w:pPr>
  </w:style>
  <w:style w:type="paragraph" w:styleId="738">
    <w:name w:val="List Number"/>
    <w:basedOn w:val="700"/>
    <w:uiPriority w:val="99"/>
    <w:unhideWhenUsed/>
    <w:pPr>
      <w:numPr>
        <w:numId w:val="5"/>
      </w:numPr>
      <w:pBdr/>
      <w:spacing/>
      <w:ind/>
      <w:contextualSpacing w:val="true"/>
    </w:pPr>
  </w:style>
  <w:style w:type="paragraph" w:styleId="739">
    <w:name w:val="List Number 2"/>
    <w:basedOn w:val="700"/>
    <w:uiPriority w:val="99"/>
    <w:unhideWhenUsed/>
    <w:pPr>
      <w:numPr>
        <w:numId w:val="6"/>
      </w:numPr>
      <w:pBdr/>
      <w:spacing/>
      <w:ind/>
      <w:contextualSpacing w:val="true"/>
    </w:pPr>
  </w:style>
  <w:style w:type="paragraph" w:styleId="740">
    <w:name w:val="List Number 3"/>
    <w:basedOn w:val="700"/>
    <w:uiPriority w:val="99"/>
    <w:unhideWhenUsed/>
    <w:pPr>
      <w:numPr>
        <w:numId w:val="7"/>
      </w:numPr>
      <w:pBdr/>
      <w:spacing/>
      <w:ind/>
      <w:contextualSpacing w:val="true"/>
    </w:pPr>
  </w:style>
  <w:style w:type="paragraph" w:styleId="741">
    <w:name w:val="List Continue"/>
    <w:basedOn w:val="700"/>
    <w:uiPriority w:val="99"/>
    <w:unhideWhenUsed/>
    <w:pPr>
      <w:pBdr/>
      <w:spacing w:after="120"/>
      <w:ind w:left="360"/>
      <w:contextualSpacing w:val="true"/>
    </w:pPr>
  </w:style>
  <w:style w:type="paragraph" w:styleId="742">
    <w:name w:val="List Continue 2"/>
    <w:basedOn w:val="700"/>
    <w:uiPriority w:val="99"/>
    <w:unhideWhenUsed/>
    <w:pPr>
      <w:pBdr/>
      <w:spacing w:after="120"/>
      <w:ind w:left="720"/>
      <w:contextualSpacing w:val="true"/>
    </w:pPr>
  </w:style>
  <w:style w:type="paragraph" w:styleId="743">
    <w:name w:val="List Continue 3"/>
    <w:basedOn w:val="700"/>
    <w:uiPriority w:val="99"/>
    <w:unhideWhenUsed/>
    <w:pPr>
      <w:pBdr/>
      <w:spacing w:after="120"/>
      <w:ind w:left="1080"/>
      <w:contextualSpacing w:val="true"/>
    </w:pPr>
  </w:style>
  <w:style w:type="paragraph" w:styleId="744">
    <w:name w:val="macro"/>
    <w:link w:val="74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5" w:customStyle="1">
    <w:name w:val="Macro Text Char"/>
    <w:basedOn w:val="714"/>
    <w:link w:val="744"/>
    <w:uiPriority w:val="99"/>
    <w:pPr>
      <w:pBdr/>
      <w:spacing/>
      <w:ind/>
    </w:pPr>
    <w:rPr>
      <w:rFonts w:ascii="Courier" w:hAnsi="Courier"/>
      <w:sz w:val="20"/>
      <w:szCs w:val="20"/>
    </w:rPr>
  </w:style>
  <w:style w:type="paragraph" w:styleId="746">
    <w:name w:val="Quote"/>
    <w:basedOn w:val="700"/>
    <w:next w:val="700"/>
    <w:link w:val="747"/>
    <w:uiPriority w:val="29"/>
    <w:qFormat/>
    <w:pPr>
      <w:pBdr/>
      <w:spacing/>
      <w:ind/>
    </w:pPr>
    <w:rPr>
      <w:i/>
      <w:iCs/>
      <w:color w:val="000000" w:themeColor="text1"/>
    </w:rPr>
  </w:style>
  <w:style w:type="character" w:styleId="747" w:customStyle="1">
    <w:name w:val="Quote Char"/>
    <w:basedOn w:val="714"/>
    <w:link w:val="746"/>
    <w:uiPriority w:val="29"/>
    <w:pPr>
      <w:pBdr/>
      <w:spacing/>
      <w:ind/>
    </w:pPr>
    <w:rPr>
      <w:i/>
      <w:iCs/>
      <w:color w:val="000000" w:themeColor="text1"/>
    </w:rPr>
  </w:style>
  <w:style w:type="character" w:styleId="748" w:customStyle="1">
    <w:name w:val="Heading 4 Char"/>
    <w:basedOn w:val="714"/>
    <w:link w:val="708"/>
    <w:uiPriority w:val="9"/>
    <w:semiHidden/>
    <w:pPr>
      <w:pBdr/>
      <w:spacing/>
      <w:ind/>
    </w:pPr>
    <w:rPr>
      <w:rFonts w:asciiTheme="majorHAnsi" w:hAnsiTheme="majorHAnsi" w:eastAsiaTheme="majorEastAsia" w:cstheme="majorBidi"/>
      <w:b/>
      <w:bCs/>
      <w:i/>
      <w:iCs/>
      <w:color w:val="4f81bd" w:themeColor="accent1"/>
    </w:rPr>
  </w:style>
  <w:style w:type="character" w:styleId="749" w:customStyle="1">
    <w:name w:val="Heading 5 Char"/>
    <w:basedOn w:val="714"/>
    <w:link w:val="709"/>
    <w:uiPriority w:val="9"/>
    <w:semiHidden/>
    <w:pPr>
      <w:pBdr/>
      <w:spacing/>
      <w:ind/>
    </w:pPr>
    <w:rPr>
      <w:rFonts w:asciiTheme="majorHAnsi" w:hAnsiTheme="majorHAnsi" w:eastAsiaTheme="majorEastAsia" w:cstheme="majorBidi"/>
      <w:color w:val="243f60" w:themeColor="accent1" w:themeShade="7F"/>
    </w:rPr>
  </w:style>
  <w:style w:type="character" w:styleId="750" w:customStyle="1">
    <w:name w:val="Heading 6 Char"/>
    <w:basedOn w:val="714"/>
    <w:link w:val="710"/>
    <w:uiPriority w:val="9"/>
    <w:semiHidden/>
    <w:pPr>
      <w:pBdr/>
      <w:spacing/>
      <w:ind/>
    </w:pPr>
    <w:rPr>
      <w:rFonts w:asciiTheme="majorHAnsi" w:hAnsiTheme="majorHAnsi" w:eastAsiaTheme="majorEastAsia" w:cstheme="majorBidi"/>
      <w:i/>
      <w:iCs/>
      <w:color w:val="243f60" w:themeColor="accent1" w:themeShade="7F"/>
    </w:rPr>
  </w:style>
  <w:style w:type="character" w:styleId="751" w:customStyle="1">
    <w:name w:val="Heading 7 Char"/>
    <w:basedOn w:val="714"/>
    <w:link w:val="711"/>
    <w:uiPriority w:val="9"/>
    <w:semiHidden/>
    <w:pPr>
      <w:pBdr/>
      <w:spacing/>
      <w:ind/>
    </w:pPr>
    <w:rPr>
      <w:rFonts w:asciiTheme="majorHAnsi" w:hAnsiTheme="majorHAnsi" w:eastAsiaTheme="majorEastAsia" w:cstheme="majorBidi"/>
      <w:i/>
      <w:iCs/>
      <w:color w:val="404040" w:themeColor="text1" w:themeTint="BF"/>
    </w:rPr>
  </w:style>
  <w:style w:type="character" w:styleId="752" w:customStyle="1">
    <w:name w:val="Heading 8 Char"/>
    <w:basedOn w:val="714"/>
    <w:link w:val="712"/>
    <w:uiPriority w:val="9"/>
    <w:semiHidden/>
    <w:pPr>
      <w:pBdr/>
      <w:spacing/>
      <w:ind/>
    </w:pPr>
    <w:rPr>
      <w:rFonts w:asciiTheme="majorHAnsi" w:hAnsiTheme="majorHAnsi" w:eastAsiaTheme="majorEastAsia" w:cstheme="majorBidi"/>
      <w:color w:val="4f81bd" w:themeColor="accent1"/>
      <w:sz w:val="20"/>
      <w:szCs w:val="20"/>
    </w:rPr>
  </w:style>
  <w:style w:type="character" w:styleId="753" w:customStyle="1">
    <w:name w:val="Heading 9 Char"/>
    <w:basedOn w:val="714"/>
    <w:link w:val="71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4">
    <w:name w:val="Caption"/>
    <w:basedOn w:val="700"/>
    <w:next w:val="700"/>
    <w:uiPriority w:val="35"/>
    <w:semiHidden/>
    <w:unhideWhenUsed/>
    <w:qFormat/>
    <w:pPr>
      <w:pBdr/>
      <w:spacing w:line="240" w:lineRule="auto"/>
      <w:ind/>
    </w:pPr>
    <w:rPr>
      <w:b/>
      <w:bCs/>
      <w:color w:val="4f81bd" w:themeColor="accent1"/>
      <w:sz w:val="18"/>
      <w:szCs w:val="18"/>
    </w:rPr>
  </w:style>
  <w:style w:type="character" w:styleId="755">
    <w:name w:val="Strong"/>
    <w:basedOn w:val="714"/>
    <w:uiPriority w:val="22"/>
    <w:qFormat/>
    <w:pPr>
      <w:pBdr/>
      <w:spacing/>
      <w:ind/>
    </w:pPr>
    <w:rPr>
      <w:b/>
      <w:bCs/>
    </w:rPr>
  </w:style>
  <w:style w:type="character" w:styleId="756">
    <w:name w:val="Emphasis"/>
    <w:basedOn w:val="714"/>
    <w:uiPriority w:val="20"/>
    <w:qFormat/>
    <w:pPr>
      <w:pBdr/>
      <w:spacing/>
      <w:ind/>
    </w:pPr>
    <w:rPr>
      <w:i/>
      <w:iCs/>
    </w:rPr>
  </w:style>
  <w:style w:type="paragraph" w:styleId="757">
    <w:name w:val="Intense Quote"/>
    <w:basedOn w:val="700"/>
    <w:next w:val="700"/>
    <w:link w:val="758"/>
    <w:uiPriority w:val="30"/>
    <w:qFormat/>
    <w:pPr>
      <w:pBdr>
        <w:bottom w:val="single" w:color="4f81bd" w:themeColor="accent1" w:sz="4" w:space="4"/>
      </w:pBdr>
      <w:spacing w:after="280" w:before="200"/>
      <w:ind w:right="936" w:left="936"/>
    </w:pPr>
    <w:rPr>
      <w:b/>
      <w:bCs/>
      <w:i/>
      <w:iCs/>
      <w:color w:val="4f81bd" w:themeColor="accent1"/>
    </w:rPr>
  </w:style>
  <w:style w:type="character" w:styleId="758" w:customStyle="1">
    <w:name w:val="Intense Quote Char"/>
    <w:basedOn w:val="714"/>
    <w:link w:val="757"/>
    <w:uiPriority w:val="30"/>
    <w:pPr>
      <w:pBdr/>
      <w:spacing/>
      <w:ind/>
    </w:pPr>
    <w:rPr>
      <w:b/>
      <w:bCs/>
      <w:i/>
      <w:iCs/>
      <w:color w:val="4f81bd" w:themeColor="accent1"/>
    </w:rPr>
  </w:style>
  <w:style w:type="character" w:styleId="759">
    <w:name w:val="Subtle Emphasis"/>
    <w:basedOn w:val="714"/>
    <w:uiPriority w:val="19"/>
    <w:qFormat/>
    <w:pPr>
      <w:pBdr/>
      <w:spacing/>
      <w:ind/>
    </w:pPr>
    <w:rPr>
      <w:i/>
      <w:iCs/>
      <w:color w:val="808080" w:themeColor="text1" w:themeTint="7F"/>
    </w:rPr>
  </w:style>
  <w:style w:type="character" w:styleId="760">
    <w:name w:val="Intense Emphasis"/>
    <w:basedOn w:val="714"/>
    <w:uiPriority w:val="21"/>
    <w:qFormat/>
    <w:pPr>
      <w:pBdr/>
      <w:spacing/>
      <w:ind/>
    </w:pPr>
    <w:rPr>
      <w:b/>
      <w:bCs/>
      <w:i/>
      <w:iCs/>
      <w:color w:val="4f81bd" w:themeColor="accent1"/>
    </w:rPr>
  </w:style>
  <w:style w:type="character" w:styleId="761">
    <w:name w:val="Subtle Reference"/>
    <w:basedOn w:val="714"/>
    <w:uiPriority w:val="31"/>
    <w:qFormat/>
    <w:pPr>
      <w:pBdr/>
      <w:spacing/>
      <w:ind/>
    </w:pPr>
    <w:rPr>
      <w:smallCaps/>
      <w:color w:val="c0504d" w:themeColor="accent2"/>
      <w:u w:val="single"/>
    </w:rPr>
  </w:style>
  <w:style w:type="character" w:styleId="762">
    <w:name w:val="Intense Reference"/>
    <w:basedOn w:val="714"/>
    <w:uiPriority w:val="32"/>
    <w:qFormat/>
    <w:pPr>
      <w:pBdr/>
      <w:spacing/>
      <w:ind/>
    </w:pPr>
    <w:rPr>
      <w:b/>
      <w:bCs/>
      <w:smallCaps/>
      <w:color w:val="c0504d" w:themeColor="accent2"/>
      <w:spacing w:val="5"/>
      <w:u w:val="single"/>
    </w:rPr>
  </w:style>
  <w:style w:type="character" w:styleId="763">
    <w:name w:val="Book Title"/>
    <w:basedOn w:val="714"/>
    <w:uiPriority w:val="33"/>
    <w:qFormat/>
    <w:pPr>
      <w:pBdr/>
      <w:spacing/>
      <w:ind/>
    </w:pPr>
    <w:rPr>
      <w:b/>
      <w:bCs/>
      <w:smallCaps/>
      <w:spacing w:val="5"/>
    </w:rPr>
  </w:style>
  <w:style w:type="paragraph" w:styleId="764">
    <w:name w:val="TOC Heading"/>
    <w:basedOn w:val="705"/>
    <w:next w:val="700"/>
    <w:uiPriority w:val="39"/>
    <w:semiHidden/>
    <w:unhideWhenUsed/>
    <w:qFormat/>
    <w:pPr>
      <w:pBdr/>
      <w:spacing/>
      <w:ind/>
      <w:outlineLvl w:val="9"/>
    </w:pPr>
  </w:style>
  <w:style w:type="table" w:styleId="765">
    <w:name w:val="Table Grid"/>
    <w:basedOn w:val="7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w:basedOn w:val="71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1"/>
    <w:basedOn w:val="71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2"/>
    <w:basedOn w:val="71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3"/>
    <w:basedOn w:val="71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4"/>
    <w:basedOn w:val="71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Shading Accent 5"/>
    <w:basedOn w:val="71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Shading Accent 6"/>
    <w:basedOn w:val="71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1"/>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2"/>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3"/>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4"/>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List Accent 5"/>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List Accent 6"/>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1"/>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2"/>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3"/>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4"/>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Grid Accent 5"/>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Grid Accent 6"/>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1"/>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2"/>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3"/>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4"/>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1 Accent 5"/>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1 Accent 6"/>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1"/>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2"/>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3"/>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4"/>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2 Accent 5"/>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2 Accent 6"/>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1"/>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2"/>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3"/>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4"/>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1 Accent 5"/>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1 Accent 6"/>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1"/>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2"/>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3"/>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4"/>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2 Accent 5"/>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2 Accent 6"/>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1"/>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2"/>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3"/>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4"/>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1 Accent 5"/>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1 Accent 6"/>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1"/>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2"/>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3"/>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4"/>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2 Accent 5"/>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2 Accent 6"/>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1"/>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2"/>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3"/>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4"/>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3 Accent 5"/>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3 Accent 6"/>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1"/>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2"/>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3"/>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4"/>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Dark List Accent 5"/>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Dark List Accent 6"/>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1"/>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2"/>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3"/>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4"/>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Shading Accent 5"/>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Shading Accent 6"/>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1"/>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2"/>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3"/>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4"/>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List Accent 5"/>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List Accent 6"/>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1"/>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2"/>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3"/>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4"/>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Grid Accent 5"/>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Grid Accent 6"/>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2026-10-28T07:26:10Z</dcterms:modified>
  <cp:category/>
</cp:coreProperties>
</file>