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E34E2C"/>
          <w:sz w:val="28"/>
          <w:szCs w:val="28"/>
        </w:rPr>
        <w:t xml:space="preserve">CONCEPTION DE DONNÉES</w:t>
      </w:r>
    </w:p>
    <w:p>
      <w:pPr>
        <w:spacing w:after="120"/>
        <w:jc w:val="center"/>
      </w:pPr>
      <w:r>
        <w:rPr>
          <w:rFonts w:ascii="Calibri" w:cs="Calibri" w:eastAsia="Calibri" w:hAnsi="Calibri"/>
          <w:b/>
          <w:bCs/>
          <w:color w:val="0A0A0B"/>
          <w:sz w:val="72"/>
          <w:szCs w:val="72"/>
        </w:rPr>
        <w:t xml:space="preserve">Telsa Charging Points</w:t>
      </w:r>
    </w:p>
    <w:p>
      <w:pPr>
        <w:spacing w:after="480"/>
        <w:jc w:val="center"/>
      </w:pPr>
      <w:r>
        <w:rPr>
          <w:rFonts w:ascii="Calibri" w:cs="Calibri" w:eastAsia="Calibri" w:hAnsi="Calibri"/>
          <w:i/>
          <w:iCs/>
          <w:color w:val="6B6863"/>
          <w:sz w:val="26"/>
          <w:szCs w:val="26"/>
        </w:rPr>
        <w:t xml:space="preserve">Plateforme de recharge pour Tesla vérifiés — Tunisie</w:t>
      </w:r>
    </w:p>
    <w:p>
      <w:pPr>
        <w:pBdr>
          <w:bottom w:val="single" w:color="0A0A0B" w:sz="6" w:space="6"/>
        </w:pBdr>
        <w:spacing w:after="60"/>
        <w:jc w:val="center"/>
      </w:pPr>
      <w:r>
        <w:rPr>
          <w:sz w:val="2"/>
          <w:szCs w:val="2"/>
        </w:rPr>
        <w:t xml:space="preserve"/>
      </w:r>
    </w:p>
    <w:p>
      <w:pPr>
        <w:spacing w:after="60" w:before="200"/>
        <w:jc w:val="center"/>
      </w:pPr>
      <w:r>
        <w:rPr>
          <w:rFonts w:ascii="Calibri" w:cs="Calibri" w:eastAsia="Calibri" w:hAnsi="Calibri"/>
          <w:color w:val="0A0A0B"/>
          <w:sz w:val="28"/>
          <w:szCs w:val="28"/>
        </w:rPr>
        <w:t xml:space="preserve">Dossier de conception UML</w:t>
      </w:r>
    </w:p>
    <w:p>
      <w:pPr>
        <w:spacing w:after="1600"/>
        <w:jc w:val="center"/>
      </w:pPr>
      <w:r>
        <w:rPr>
          <w:rFonts w:ascii="Calibri" w:cs="Calibri" w:eastAsia="Calibri" w:hAnsi="Calibri"/>
          <w:i/>
          <w:iCs/>
          <w:color w:val="6B6863"/>
          <w:sz w:val="24"/>
          <w:szCs w:val="24"/>
        </w:rPr>
        <w:t xml:space="preserve">Cas d'utilisation · Classes · Séquence</w:t>
      </w:r>
    </w:p>
    <w:p>
      <w:pPr>
        <w:spacing w:after="60" w:before="0"/>
        <w:jc w:val="center"/>
      </w:pPr>
      <w:r>
        <w:rPr>
          <w:rFonts w:ascii="Calibri" w:cs="Calibri" w:eastAsia="Calibri" w:hAnsi="Calibri"/>
          <w:color w:val="6B6863"/>
          <w:sz w:val="20"/>
          <w:szCs w:val="20"/>
        </w:rPr>
        <w:t xml:space="preserve">Auteur</w:t>
      </w:r>
    </w:p>
    <w:p>
      <w:pPr>
        <w:spacing w:after="240"/>
        <w:jc w:val="center"/>
      </w:pPr>
      <w:r>
        <w:rPr>
          <w:rFonts w:ascii="Calibri" w:cs="Calibri" w:eastAsia="Calibri" w:hAnsi="Calibri"/>
          <w:b/>
          <w:bCs/>
          <w:color w:val="0A0A0B"/>
          <w:sz w:val="24"/>
          <w:szCs w:val="24"/>
        </w:rPr>
        <w:t xml:space="preserve">Lalo_GR</w:t>
      </w:r>
    </w:p>
    <w:p>
      <w:pPr>
        <w:spacing w:after="60"/>
        <w:jc w:val="center"/>
      </w:pPr>
      <w:r>
        <w:rPr>
          <w:rFonts w:ascii="Calibri" w:cs="Calibri" w:eastAsia="Calibri" w:hAnsi="Calibri"/>
          <w:color w:val="6B6863"/>
          <w:sz w:val="20"/>
          <w:szCs w:val="20"/>
        </w:rPr>
        <w:t xml:space="preserve">Date</w:t>
      </w:r>
    </w:p>
    <w:p>
      <w:pPr>
        <w:spacing w:after="60"/>
        <w:jc w:val="center"/>
      </w:pPr>
      <w:r>
        <w:rPr>
          <w:rFonts w:ascii="Calibri" w:cs="Calibri" w:eastAsia="Calibri" w:hAnsi="Calibri"/>
          <w:color w:val="0A0A0B"/>
          <w:sz w:val="22"/>
          <w:szCs w:val="22"/>
        </w:rPr>
        <w:t xml:space="preserve">23 avril 2026</w:t>
      </w:r>
    </w:p>
    <w:p>
      <w:r>
        <w:br w:type="page"/>
      </w:r>
    </w:p>
    <w:p>
      <w:pPr>
        <w:pStyle w:val="Heading1"/>
        <w:spacing w:after="120" w:before="240"/>
      </w:pPr>
      <w:r>
        <w:rPr>
          <w:rFonts w:ascii="Calibri" w:cs="Calibri" w:eastAsia="Calibri" w:hAnsi="Calibri"/>
          <w:b/>
          <w:bCs/>
          <w:color w:val="0A0A0B"/>
          <w:sz w:val="26"/>
          <w:szCs w:val="26"/>
        </w:rPr>
        <w:t xml:space="preserve">Sommaire</w:t>
      </w:r>
    </w:p>
    <w:p>
      <w:pPr>
        <w:tabs>
          <w:tab w:val="right" w:pos="9026"/>
        </w:tabs>
        <w:spacing w:after="80"/>
      </w:pPr>
      <w:r>
        <w:rPr>
          <w:rFonts w:ascii="Calibri" w:cs="Calibri" w:eastAsia="Calibri" w:hAnsi="Calibri"/>
          <w:color w:val="0A0A0B"/>
          <w:sz w:val="22"/>
          <w:szCs w:val="22"/>
        </w:rPr>
        <w:t xml:space="preserve">1. Contexte &amp;  objectifs</w:t>
      </w:r>
      <w:r>
        <w:t xml:space="preserve">	</w:t>
      </w:r>
      <w:r>
        <w:rPr>
          <w:rFonts w:ascii="Calibri" w:cs="Calibri" w:eastAsia="Calibri" w:hAnsi="Calibri"/>
          <w:color w:val="0A0A0B"/>
          <w:sz w:val="22"/>
          <w:szCs w:val="22"/>
        </w:rPr>
        <w:t xml:space="preserve">3</w:t>
      </w:r>
    </w:p>
    <w:p>
      <w:pPr>
        <w:tabs>
          <w:tab w:val="right" w:pos="9026"/>
        </w:tabs>
        <w:spacing w:after="80"/>
      </w:pPr>
      <w:r>
        <w:rPr>
          <w:rFonts w:ascii="Calibri" w:cs="Calibri" w:eastAsia="Calibri" w:hAnsi="Calibri"/>
          <w:color w:val="0A0A0B"/>
          <w:sz w:val="22"/>
          <w:szCs w:val="22"/>
        </w:rPr>
        <w:t xml:space="preserve">2. Méthodologie de conception</w:t>
      </w:r>
      <w:r>
        <w:t xml:space="preserve">	</w:t>
      </w:r>
      <w:r>
        <w:rPr>
          <w:rFonts w:ascii="Calibri" w:cs="Calibri" w:eastAsia="Calibri" w:hAnsi="Calibri"/>
          <w:color w:val="0A0A0B"/>
          <w:sz w:val="22"/>
          <w:szCs w:val="22"/>
        </w:rPr>
        <w:t xml:space="preserve">3</w:t>
      </w:r>
    </w:p>
    <w:p>
      <w:pPr>
        <w:tabs>
          <w:tab w:val="right" w:pos="9026"/>
        </w:tabs>
        <w:spacing w:after="80"/>
      </w:pPr>
      <w:r>
        <w:rPr>
          <w:rFonts w:ascii="Calibri" w:cs="Calibri" w:eastAsia="Calibri" w:hAnsi="Calibri"/>
          <w:color w:val="0A0A0B"/>
          <w:sz w:val="22"/>
          <w:szCs w:val="22"/>
        </w:rPr>
        <w:t xml:space="preserve">3. Diagramme de cas d'utilisation</w:t>
      </w:r>
      <w:r>
        <w:t xml:space="preserve">	</w:t>
      </w:r>
      <w:r>
        <w:rPr>
          <w:rFonts w:ascii="Calibri" w:cs="Calibri" w:eastAsia="Calibri" w:hAnsi="Calibri"/>
          <w:color w:val="0A0A0B"/>
          <w:sz w:val="22"/>
          <w:szCs w:val="22"/>
        </w:rPr>
        <w:t xml:space="preserve">5</w:t>
      </w:r>
    </w:p>
    <w:p>
      <w:pPr>
        <w:tabs>
          <w:tab w:val="right" w:pos="9026"/>
        </w:tabs>
        <w:spacing w:after="80"/>
      </w:pPr>
      <w:r>
        <w:rPr>
          <w:rFonts w:ascii="Calibri" w:cs="Calibri" w:eastAsia="Calibri" w:hAnsi="Calibri"/>
          <w:color w:val="0A0A0B"/>
          <w:sz w:val="22"/>
          <w:szCs w:val="22"/>
        </w:rPr>
        <w:t xml:space="preserve">4. Diagramme de classes</w:t>
      </w:r>
      <w:r>
        <w:t xml:space="preserve">	</w:t>
      </w:r>
      <w:r>
        <w:rPr>
          <w:rFonts w:ascii="Calibri" w:cs="Calibri" w:eastAsia="Calibri" w:hAnsi="Calibri"/>
          <w:color w:val="0A0A0B"/>
          <w:sz w:val="22"/>
          <w:szCs w:val="22"/>
        </w:rPr>
        <w:t xml:space="preserve">8</w:t>
      </w:r>
    </w:p>
    <w:p>
      <w:pPr>
        <w:tabs>
          <w:tab w:val="right" w:pos="9026"/>
        </w:tabs>
        <w:spacing w:after="80"/>
      </w:pPr>
      <w:r>
        <w:rPr>
          <w:rFonts w:ascii="Calibri" w:cs="Calibri" w:eastAsia="Calibri" w:hAnsi="Calibri"/>
          <w:color w:val="0A0A0B"/>
          <w:sz w:val="22"/>
          <w:szCs w:val="22"/>
        </w:rPr>
        <w:t xml:space="preserve">5. Diagramme de séquence</w:t>
      </w:r>
      <w:r>
        <w:t xml:space="preserve">	</w:t>
      </w:r>
      <w:r>
        <w:rPr>
          <w:rFonts w:ascii="Calibri" w:cs="Calibri" w:eastAsia="Calibri" w:hAnsi="Calibri"/>
          <w:color w:val="0A0A0B"/>
          <w:sz w:val="22"/>
          <w:szCs w:val="22"/>
        </w:rPr>
        <w:t xml:space="preserve">11</w:t>
      </w:r>
    </w:p>
    <w:p>
      <w:pPr>
        <w:tabs>
          <w:tab w:val="right" w:pos="9026"/>
        </w:tabs>
        <w:spacing w:after="80"/>
      </w:pPr>
      <w:r>
        <w:rPr>
          <w:rFonts w:ascii="Calibri" w:cs="Calibri" w:eastAsia="Calibri" w:hAnsi="Calibri"/>
          <w:color w:val="0A0A0B"/>
          <w:sz w:val="22"/>
          <w:szCs w:val="22"/>
        </w:rPr>
        <w:t xml:space="preserve">6. Synthèse et traçabilité</w:t>
      </w:r>
      <w:r>
        <w:t xml:space="preserve">	</w:t>
      </w:r>
      <w:r>
        <w:rPr>
          <w:rFonts w:ascii="Calibri" w:cs="Calibri" w:eastAsia="Calibri" w:hAnsi="Calibri"/>
          <w:color w:val="0A0A0B"/>
          <w:sz w:val="22"/>
          <w:szCs w:val="22"/>
        </w:rPr>
        <w:t xml:space="preserve">15</w:t>
      </w:r>
    </w:p>
    <w:p>
      <w:pPr>
        <w:tabs>
          <w:tab w:val="right" w:pos="9026"/>
        </w:tabs>
        <w:spacing w:after="80"/>
      </w:pPr>
      <w:r>
        <w:rPr>
          <w:rFonts w:ascii="Calibri" w:cs="Calibri" w:eastAsia="Calibri" w:hAnsi="Calibri"/>
          <w:color w:val="0A0A0B"/>
          <w:sz w:val="22"/>
          <w:szCs w:val="22"/>
        </w:rPr>
        <w:t xml:space="preserve">Annexe A — Sources PlantUML</w:t>
      </w:r>
      <w:r>
        <w:t xml:space="preserve">	</w:t>
      </w:r>
      <w:r>
        <w:rPr>
          <w:rFonts w:ascii="Calibri" w:cs="Calibri" w:eastAsia="Calibri" w:hAnsi="Calibri"/>
          <w:color w:val="0A0A0B"/>
          <w:sz w:val="22"/>
          <w:szCs w:val="22"/>
        </w:rPr>
        <w:t xml:space="preserve">16</w:t>
      </w:r>
    </w:p>
    <w:p>
      <w:r>
        <w:br w:type="page"/>
      </w:r>
    </w:p>
    <w:p>
      <w:pPr>
        <w:pStyle w:val="Heading1"/>
        <w:spacing w:after="120" w:before="240"/>
      </w:pPr>
      <w:r>
        <w:rPr>
          <w:rFonts w:ascii="Calibri" w:cs="Calibri" w:eastAsia="Calibri" w:hAnsi="Calibri"/>
          <w:b/>
          <w:bCs/>
          <w:color w:val="0A0A0B"/>
          <w:sz w:val="26"/>
          <w:szCs w:val="26"/>
        </w:rPr>
        <w:t xml:space="preserve">1. Contexte &amp; objectifs</w:t>
      </w:r>
    </w:p>
    <w:p>
      <w:pPr>
        <w:spacing w:after="120" w:before="0" w:line="320"/>
        <w:jc w:val="both"/>
      </w:pPr>
      <w:r>
        <w:rPr>
          <w:rFonts w:ascii="Calibri" w:cs="Calibri" w:eastAsia="Calibri" w:hAnsi="Calibri"/>
          <w:color w:val="0A0A0B"/>
          <w:sz w:val="22"/>
          <w:szCs w:val="22"/>
        </w:rPr>
        <w:t xml:space="preserve">Telsa Charging Points est une plateforme web spécialisée permettant aux propriétaires de Tesla </w:t>
      </w:r>
      <w:r>
        <w:rPr>
          <w:rFonts w:ascii="Calibri" w:cs="Calibri" w:eastAsia="Calibri" w:hAnsi="Calibri"/>
          <w:b/>
          <w:bCs/>
          <w:color w:val="0A0A0B"/>
          <w:sz w:val="22"/>
          <w:szCs w:val="22"/>
        </w:rPr>
        <w:t xml:space="preserve">préalablement vérifiés</w:t>
      </w:r>
      <w:r>
        <w:rPr>
          <w:rFonts w:ascii="Calibri" w:cs="Calibri" w:eastAsia="Calibri" w:hAnsi="Calibri"/>
          <w:color w:val="0A0A0B"/>
          <w:sz w:val="22"/>
          <w:szCs w:val="22"/>
        </w:rPr>
        <w:t xml:space="preserve"> de localiser les bornes de recharge compatibles avec leur modèle sur le territoire tunisien. La spécificité du produit tient à son </w:t>
      </w:r>
      <w:r>
        <w:rPr>
          <w:rFonts w:ascii="Calibri" w:cs="Calibri" w:eastAsia="Calibri" w:hAnsi="Calibri"/>
          <w:b/>
          <w:bCs/>
          <w:color w:val="0A0A0B"/>
          <w:sz w:val="22"/>
          <w:szCs w:val="22"/>
        </w:rPr>
        <w:t xml:space="preserve">contrôle d'accès à deux étages</w:t>
      </w:r>
      <w:r>
        <w:rPr>
          <w:rFonts w:ascii="Calibri" w:cs="Calibri" w:eastAsia="Calibri" w:hAnsi="Calibri"/>
          <w:color w:val="0A0A0B"/>
          <w:sz w:val="22"/>
          <w:szCs w:val="22"/>
        </w:rPr>
        <w:t xml:space="preserve"> : le véhicule est vérifié avant que le propriétaire ne crée son compte, et le compte est vérifié à chaque connexion via un double mécanisme (mot de passe + OTP SMS). Cette contrainte métier gouverne l'ensemble du modèle de données.</w:t>
      </w:r>
    </w:p>
    <w:p>
      <w:pPr>
        <w:spacing w:after="120" w:before="0" w:line="320"/>
        <w:jc w:val="both"/>
      </w:pPr>
      <w:r>
        <w:rPr>
          <w:rFonts w:ascii="Calibri" w:cs="Calibri" w:eastAsia="Calibri" w:hAnsi="Calibri"/>
          <w:color w:val="0A0A0B"/>
          <w:sz w:val="22"/>
          <w:szCs w:val="22"/>
        </w:rPr>
        <w:t xml:space="preserve">Le présent dossier formalise la conception du système à l'aide de trois diagrammes UML complémentaires : un diagramme de </w:t>
      </w:r>
      <w:r>
        <w:rPr>
          <w:rFonts w:ascii="Calibri" w:cs="Calibri" w:eastAsia="Calibri" w:hAnsi="Calibri"/>
          <w:b/>
          <w:bCs/>
          <w:color w:val="0A0A0B"/>
          <w:sz w:val="22"/>
          <w:szCs w:val="22"/>
        </w:rPr>
        <w:t xml:space="preserve">cas d'utilisation</w:t>
      </w:r>
      <w:r>
        <w:rPr>
          <w:rFonts w:ascii="Calibri" w:cs="Calibri" w:eastAsia="Calibri" w:hAnsi="Calibri"/>
          <w:color w:val="0A0A0B"/>
          <w:sz w:val="22"/>
          <w:szCs w:val="22"/>
        </w:rPr>
        <w:t xml:space="preserve"> pour en établir les frontières et les acteurs, un diagramme de </w:t>
      </w:r>
      <w:r>
        <w:rPr>
          <w:rFonts w:ascii="Calibri" w:cs="Calibri" w:eastAsia="Calibri" w:hAnsi="Calibri"/>
          <w:b/>
          <w:bCs/>
          <w:color w:val="0A0A0B"/>
          <w:sz w:val="22"/>
          <w:szCs w:val="22"/>
        </w:rPr>
        <w:t xml:space="preserve">classes</w:t>
      </w:r>
      <w:r>
        <w:rPr>
          <w:rFonts w:ascii="Calibri" w:cs="Calibri" w:eastAsia="Calibri" w:hAnsi="Calibri"/>
          <w:color w:val="0A0A0B"/>
          <w:sz w:val="22"/>
          <w:szCs w:val="22"/>
        </w:rPr>
        <w:t xml:space="preserve"> pour en décrire le modèle du domaine, et un diagramme de </w:t>
      </w:r>
      <w:r>
        <w:rPr>
          <w:rFonts w:ascii="Calibri" w:cs="Calibri" w:eastAsia="Calibri" w:hAnsi="Calibri"/>
          <w:b/>
          <w:bCs/>
          <w:color w:val="0A0A0B"/>
          <w:sz w:val="22"/>
          <w:szCs w:val="22"/>
        </w:rPr>
        <w:t xml:space="preserve">séquence</w:t>
      </w:r>
      <w:r>
        <w:rPr>
          <w:rFonts w:ascii="Calibri" w:cs="Calibri" w:eastAsia="Calibri" w:hAnsi="Calibri"/>
          <w:color w:val="0A0A0B"/>
          <w:sz w:val="22"/>
          <w:szCs w:val="22"/>
        </w:rPr>
        <w:t xml:space="preserve"> pour en dérouler le scénario d'onboarding complet. L'ensemble respecte les conventions UML 2.5 et suit une approche </w:t>
      </w:r>
      <w:r>
        <w:rPr>
          <w:rFonts w:ascii="Calibri" w:cs="Calibri" w:eastAsia="Calibri" w:hAnsi="Calibri"/>
          <w:b/>
          <w:bCs/>
          <w:color w:val="0A0A0B"/>
          <w:sz w:val="22"/>
          <w:szCs w:val="22"/>
        </w:rPr>
        <w:t xml:space="preserve">Domain-Driven Design</w:t>
      </w:r>
      <w:r>
        <w:rPr>
          <w:rFonts w:ascii="Calibri" w:cs="Calibri" w:eastAsia="Calibri" w:hAnsi="Calibri"/>
          <w:color w:val="0A0A0B"/>
          <w:sz w:val="22"/>
          <w:szCs w:val="22"/>
        </w:rPr>
        <w:t xml:space="preserve"> (agrégats, objets-valeur, services applicatifs, dépôts).</w:t>
      </w:r>
    </w:p>
    <w:p>
      <w:pPr>
        <w:pStyle w:val="Heading2"/>
        <w:spacing w:after="120" w:before="240"/>
      </w:pPr>
      <w:r>
        <w:rPr>
          <w:rFonts w:ascii="Calibri" w:cs="Calibri" w:eastAsia="Calibri" w:hAnsi="Calibri"/>
          <w:b/>
          <w:bCs/>
          <w:color w:val="0A0A0B"/>
          <w:sz w:val="26"/>
          <w:szCs w:val="26"/>
        </w:rPr>
        <w:t xml:space="preserve">Objectifs du système</w:t>
      </w:r>
    </w:p>
    <w:p>
      <w:pPr>
        <w:pStyle w:val="ListParagraph"/>
        <w:numPr>
          <w:ilvl w:val="0"/>
          <w:numId w:val="2"/>
        </w:numPr>
        <w:spacing w:after="60" w:line="300"/>
      </w:pPr>
      <w:r>
        <w:rPr>
          <w:rFonts w:ascii="Calibri" w:cs="Calibri" w:eastAsia="Calibri" w:hAnsi="Calibri"/>
          <w:color w:val="0A0A0B"/>
          <w:sz w:val="22"/>
          <w:szCs w:val="22"/>
        </w:rPr>
        <w:t xml:space="preserve">Vérifier l'appartenance Tesla d'un véhicule avant toute création de compte, via deux chemins : registre ERP local (plaque + VIN) ou revue humaine de la carte grise (véhicule étranger).</w:t>
      </w:r>
    </w:p>
    <w:p>
      <w:pPr>
        <w:pStyle w:val="ListParagraph"/>
        <w:numPr>
          <w:ilvl w:val="0"/>
          <w:numId w:val="2"/>
        </w:numPr>
        <w:spacing w:after="60" w:line="300"/>
      </w:pPr>
      <w:r>
        <w:rPr>
          <w:rFonts w:ascii="Calibri" w:cs="Calibri" w:eastAsia="Calibri" w:hAnsi="Calibri"/>
          <w:color w:val="0A0A0B"/>
          <w:sz w:val="22"/>
          <w:szCs w:val="22"/>
        </w:rPr>
        <w:t xml:space="preserve">Authentifier les propriétaires par e-mail + mot de passe, renforcé par un code OTP à usage unique transmis par SMS (Twilio).</w:t>
      </w:r>
    </w:p>
    <w:p>
      <w:pPr>
        <w:pStyle w:val="ListParagraph"/>
        <w:numPr>
          <w:ilvl w:val="0"/>
          <w:numId w:val="2"/>
        </w:numPr>
        <w:spacing w:after="60" w:line="300"/>
      </w:pPr>
      <w:r>
        <w:rPr>
          <w:rFonts w:ascii="Calibri" w:cs="Calibri" w:eastAsia="Calibri" w:hAnsi="Calibri"/>
          <w:color w:val="0A0A0B"/>
          <w:sz w:val="22"/>
          <w:szCs w:val="22"/>
        </w:rPr>
        <w:t xml:space="preserve">Émettre et renouveler des jetons JWT (access + refresh) selon une politique de rotation systématique avec stockage hashé.</w:t>
      </w:r>
    </w:p>
    <w:p>
      <w:pPr>
        <w:pStyle w:val="ListParagraph"/>
        <w:numPr>
          <w:ilvl w:val="0"/>
          <w:numId w:val="2"/>
        </w:numPr>
        <w:spacing w:after="60" w:line="300"/>
      </w:pPr>
      <w:r>
        <w:rPr>
          <w:rFonts w:ascii="Calibri" w:cs="Calibri" w:eastAsia="Calibri" w:hAnsi="Calibri"/>
          <w:color w:val="0A0A0B"/>
          <w:sz w:val="22"/>
          <w:szCs w:val="22"/>
        </w:rPr>
        <w:t xml:space="preserve">Exposer la recherche géospatiale des bornes compatibles avec le connecteur du modèle (NACS, CCS2, etc.).</w:t>
      </w:r>
    </w:p>
    <w:p>
      <w:pPr>
        <w:pStyle w:val="ListParagraph"/>
        <w:numPr>
          <w:ilvl w:val="0"/>
          <w:numId w:val="2"/>
        </w:numPr>
        <w:spacing w:after="60" w:line="300"/>
      </w:pPr>
      <w:r>
        <w:rPr>
          <w:rFonts w:ascii="Calibri" w:cs="Calibri" w:eastAsia="Calibri" w:hAnsi="Calibri"/>
          <w:color w:val="0A0A0B"/>
          <w:sz w:val="22"/>
          <w:szCs w:val="22"/>
        </w:rPr>
        <w:t xml:space="preserve">Offrir une console d'administration à rôle restreint (ROLE_ADMIN) pour la gestion des utilisateurs et du registre ERP.</w:t>
      </w:r>
    </w:p>
    <w:p>
      <w:pPr>
        <w:pStyle w:val="Heading1"/>
        <w:spacing w:after="120" w:before="240"/>
      </w:pPr>
      <w:r>
        <w:rPr>
          <w:rFonts w:ascii="Calibri" w:cs="Calibri" w:eastAsia="Calibri" w:hAnsi="Calibri"/>
          <w:b/>
          <w:bCs/>
          <w:color w:val="0A0A0B"/>
          <w:sz w:val="26"/>
          <w:szCs w:val="26"/>
        </w:rPr>
        <w:t xml:space="preserve">2. Méthodologie de conception</w:t>
      </w:r>
    </w:p>
    <w:p>
      <w:pPr>
        <w:spacing w:after="120" w:before="0" w:line="320"/>
        <w:jc w:val="both"/>
      </w:pPr>
      <w:r>
        <w:rPr>
          <w:rFonts w:ascii="Calibri" w:cs="Calibri" w:eastAsia="Calibri" w:hAnsi="Calibri"/>
          <w:color w:val="0A0A0B"/>
          <w:sz w:val="22"/>
          <w:szCs w:val="22"/>
        </w:rPr>
        <w:t xml:space="preserve">La modélisation suit une démarche descendante. Le diagramme de cas d'utilisation — le plus proche du métier — fige le </w:t>
      </w:r>
      <w:r>
        <w:rPr>
          <w:rFonts w:ascii="Calibri" w:cs="Calibri" w:eastAsia="Calibri" w:hAnsi="Calibri"/>
          <w:b/>
          <w:bCs/>
          <w:color w:val="0A0A0B"/>
          <w:sz w:val="22"/>
          <w:szCs w:val="22"/>
        </w:rPr>
        <w:t xml:space="preserve">contrat fonctionnel</w:t>
      </w:r>
      <w:r>
        <w:rPr>
          <w:rFonts w:ascii="Calibri" w:cs="Calibri" w:eastAsia="Calibri" w:hAnsi="Calibri"/>
          <w:color w:val="0A0A0B"/>
          <w:sz w:val="22"/>
          <w:szCs w:val="22"/>
        </w:rPr>
        <w:t xml:space="preserve"> et permet d'identifier les acteurs humains et systèmes. Le diagramme de classes transcrit ensuite ce contrat en </w:t>
      </w:r>
      <w:r>
        <w:rPr>
          <w:rFonts w:ascii="Calibri" w:cs="Calibri" w:eastAsia="Calibri" w:hAnsi="Calibri"/>
          <w:b/>
          <w:bCs/>
          <w:color w:val="0A0A0B"/>
          <w:sz w:val="22"/>
          <w:szCs w:val="22"/>
        </w:rPr>
        <w:t xml:space="preserve">modèle du domaine</w:t>
      </w:r>
      <w:r>
        <w:rPr>
          <w:rFonts w:ascii="Calibri" w:cs="Calibri" w:eastAsia="Calibri" w:hAnsi="Calibri"/>
          <w:color w:val="0A0A0B"/>
          <w:sz w:val="22"/>
          <w:szCs w:val="22"/>
        </w:rPr>
        <w:t xml:space="preserve"> : chaque cas d'utilisation devient un service applicatif, chaque concept métier devient une entité ou un objet-valeur. Enfin, le diagramme de séquence instancie un scénario concret — l'onboarding complet d'un propriétaire — pour vérifier la cohérence dynamique des collaborations entre objets.</w:t>
      </w:r>
    </w:p>
    <w:p>
      <w:pPr>
        <w:pStyle w:val="Heading2"/>
        <w:spacing w:after="120" w:before="240"/>
      </w:pPr>
      <w:r>
        <w:rPr>
          <w:rFonts w:ascii="Calibri" w:cs="Calibri" w:eastAsia="Calibri" w:hAnsi="Calibri"/>
          <w:b/>
          <w:bCs/>
          <w:color w:val="0A0A0B"/>
          <w:sz w:val="26"/>
          <w:szCs w:val="26"/>
        </w:rPr>
        <w:t xml:space="preserve">Conventions de notation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Symbole / Stéréotype</w:t>
            </w:r>
          </w:p>
        </w:tc>
        <w:tc>
          <w:tcPr>
            <w:tcW w:type="dxa" w:w="45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Signification</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«enum»</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Énumération — valeurs discrètes et fixes</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«value object»</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Objet-valeur — immuable, défini par ses attributs</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«service»</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Service applicatif sans état propre</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A  (badge rouge)</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Racine d'agrégat (DDD) — point d'entrée transactionnel</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Losange plein</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Composition — cycle de vie partagé</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Losange creux</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Agrégation faible</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Flèche pointillée</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Dépendance «use» ou «include» / «extend» (cas d'utilisation)</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Triangle creux</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Généralisation / héritage</w:t>
            </w:r>
          </w:p>
        </w:tc>
      </w:tr>
    </w:tbl>
    <w:p>
      <w:r>
        <w:br w:type="page"/>
      </w:r>
    </w:p>
    <w:p>
      <w:pPr>
        <w:pStyle w:val="Heading2"/>
        <w:spacing w:after="120" w:before="240"/>
      </w:pPr>
      <w:r>
        <w:rPr>
          <w:rFonts w:ascii="Calibri" w:cs="Calibri" w:eastAsia="Calibri" w:hAnsi="Calibri"/>
          <w:b/>
          <w:bCs/>
          <w:color w:val="0A0A0B"/>
          <w:sz w:val="26"/>
          <w:szCs w:val="26"/>
        </w:rPr>
        <w:t xml:space="preserve">Pile technique cible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Couche</w:t>
            </w:r>
          </w:p>
        </w:tc>
        <w:tc>
          <w:tcPr>
            <w:tcW w:type="dxa" w:w="30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Technologie</w:t>
            </w:r>
          </w:p>
        </w:tc>
        <w:tc>
          <w:tcPr>
            <w:tcW w:type="dxa" w:w="30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Rôle dans le dossier</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Web</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Spring MVC (controllers)</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Porte d'entrée — valide, traduit en commandes</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Application</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Services Spring (@Service)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Orchestration des cas d'utilisation</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Domaine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Entités JPA + objets-valeur</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Règles métier, invariants</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Infrastructure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Hibernate, PostgreSQL, Redis</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Dépôts, cache, rate-limit</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Sécurité</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Spring Security + JWT</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Filtres, authentification stateless</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Intégrations</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SMTP, Twilio, S3-like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Courriel, SMS, fichiers</w:t>
            </w:r>
          </w:p>
        </w:tc>
      </w:tr>
    </w:tbl>
    <w:p>
      <w:r>
        <w:br w:type="page"/>
      </w:r>
    </w:p>
    <w:p>
      <w:pPr>
        <w:pStyle w:val="Heading1"/>
        <w:spacing w:after="120" w:before="240"/>
      </w:pPr>
      <w:r>
        <w:rPr>
          <w:rFonts w:ascii="Calibri" w:cs="Calibri" w:eastAsia="Calibri" w:hAnsi="Calibri"/>
          <w:b/>
          <w:bCs/>
          <w:color w:val="0A0A0B"/>
          <w:sz w:val="26"/>
          <w:szCs w:val="26"/>
        </w:rPr>
        <w:t xml:space="preserve">3. Diagramme de cas d'utilisation</w:t>
      </w:r>
    </w:p>
    <w:p>
      <w:pPr>
        <w:spacing w:after="240" w:before="40"/>
        <w:jc w:val="center"/>
      </w:pPr>
      <w:r>
        <w:rPr>
          <w:rFonts w:ascii="Calibri" w:cs="Calibri" w:eastAsia="Calibri" w:hAnsi="Calibri"/>
          <w:i/>
          <w:iCs/>
          <w:color w:val="6B6863"/>
          <w:sz w:val="24"/>
          <w:szCs w:val="24"/>
        </w:rPr>
        <w:t xml:space="preserve">Frontière du système, acteurs humains et systèmes externes, relations d'inclusion</w:t>
      </w:r>
    </w:p>
    <w:p>
      <w:pPr>
        <w:spacing w:after="120" w:before="120"/>
        <w:jc w:val="center"/>
      </w:pPr>
      <w:r>
        <w:drawing>
          <wp:inline distT="0" distB="0" distL="0" distR="0">
            <wp:extent cx="6096000" cy="4572000"/>
            <wp:effectExtent t="0" r="0" b="0" l="0"/>
            <wp:docPr id="1" name="diagramme"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572000"/>
                    </a:xfrm>
                    <a:prstGeom prst="rect">
                      <a:avLst/>
                    </a:prstGeom>
                  </pic:spPr>
                </pic:pic>
              </a:graphicData>
            </a:graphic>
          </wp:inline>
        </w:drawing>
      </w:r>
    </w:p>
    <w:p>
      <w:pPr>
        <w:spacing w:after="200"/>
        <w:jc w:val="center"/>
      </w:pPr>
      <w:r>
        <w:rPr>
          <w:rFonts w:ascii="Calibri" w:cs="Calibri" w:eastAsia="Calibri" w:hAnsi="Calibri"/>
          <w:i/>
          <w:iCs/>
          <w:color w:val="6B6863"/>
          <w:sz w:val="20"/>
          <w:szCs w:val="20"/>
        </w:rPr>
        <w:t xml:space="preserve">Figure 1 — Diagramme de cas d'utilisation de Telsa Charging Points</w:t>
      </w:r>
    </w:p>
    <w:p>
      <w:pPr>
        <w:pStyle w:val="Heading2"/>
        <w:spacing w:after="120" w:before="240"/>
      </w:pPr>
      <w:r>
        <w:rPr>
          <w:rFonts w:ascii="Calibri" w:cs="Calibri" w:eastAsia="Calibri" w:hAnsi="Calibri"/>
          <w:b/>
          <w:bCs/>
          <w:color w:val="0A0A0B"/>
          <w:sz w:val="26"/>
          <w:szCs w:val="26"/>
        </w:rPr>
        <w:t xml:space="preserve">3.1 Acteurs</w:t>
      </w:r>
    </w:p>
    <w:p>
      <w:pPr>
        <w:spacing w:after="120" w:before="0" w:line="320"/>
        <w:jc w:val="both"/>
      </w:pPr>
      <w:r>
        <w:rPr>
          <w:rFonts w:ascii="Calibri" w:cs="Calibri" w:eastAsia="Calibri" w:hAnsi="Calibri"/>
          <w:b/>
          <w:bCs/>
          <w:color w:val="0A0A0B"/>
          <w:sz w:val="22"/>
          <w:szCs w:val="22"/>
        </w:rPr>
        <w:t xml:space="preserve">Visiteur</w:t>
      </w:r>
      <w:r>
        <w:rPr>
          <w:rFonts w:ascii="Calibri" w:cs="Calibri" w:eastAsia="Calibri" w:hAnsi="Calibri"/>
          <w:color w:val="0A0A0B"/>
          <w:sz w:val="22"/>
          <w:szCs w:val="22"/>
        </w:rPr>
        <w:t xml:space="preserve"> — tout utilisateur anonyme atteignant le site. Il peut initier la vérification d'un véhicule et démarrer la création d'un compte, mais rien de plus.</w:t>
      </w:r>
    </w:p>
    <w:p>
      <w:pPr>
        <w:spacing w:after="120" w:before="0" w:line="320"/>
        <w:jc w:val="both"/>
      </w:pPr>
      <w:r>
        <w:rPr>
          <w:rFonts w:ascii="Calibri" w:cs="Calibri" w:eastAsia="Calibri" w:hAnsi="Calibri"/>
          <w:b/>
          <w:bCs/>
          <w:color w:val="0A0A0B"/>
          <w:sz w:val="22"/>
          <w:szCs w:val="22"/>
        </w:rPr>
        <w:t xml:space="preserve">Propriétaire vérifié</w:t>
      </w:r>
      <w:r>
        <w:rPr>
          <w:rFonts w:ascii="Calibri" w:cs="Calibri" w:eastAsia="Calibri" w:hAnsi="Calibri"/>
          <w:color w:val="0A0A0B"/>
          <w:sz w:val="22"/>
          <w:szCs w:val="22"/>
        </w:rPr>
        <w:t xml:space="preserve"> — héritier du rôle Visiteur, il a franchi l'ensemble du parcours d'onboarding (véhicule vérifié, compte créé, e-mail confirmé, connexion réussie avec OTP). Il peut consulter la carte des bornes, gérer son compte, rafraîchir sa session et se déconnecter.</w:t>
      </w:r>
    </w:p>
    <w:p>
      <w:pPr>
        <w:spacing w:after="120" w:before="0" w:line="320"/>
        <w:jc w:val="both"/>
      </w:pPr>
      <w:r>
        <w:rPr>
          <w:rFonts w:ascii="Calibri" w:cs="Calibri" w:eastAsia="Calibri" w:hAnsi="Calibri"/>
          <w:b/>
          <w:bCs/>
          <w:color w:val="0A0A0B"/>
          <w:sz w:val="22"/>
          <w:szCs w:val="22"/>
        </w:rPr>
        <w:t xml:space="preserve">Administrateur</w:t>
      </w:r>
      <w:r>
        <w:rPr>
          <w:rFonts w:ascii="Calibri" w:cs="Calibri" w:eastAsia="Calibri" w:hAnsi="Calibri"/>
          <w:color w:val="0A0A0B"/>
          <w:sz w:val="22"/>
          <w:szCs w:val="22"/>
        </w:rPr>
        <w:t xml:space="preserve"> — hérite du Propriétaire vérifié avec des privilèges supplémentaires : statistiques, gestion des utilisateurs, et insertion d'entrées dans le registre ERP local. L'accès est contrôlé par SecurityConfig via le rôle </w:t>
      </w:r>
      <w:r>
        <w:rPr>
          <w:rFonts w:ascii="Consolas" w:cs="Consolas" w:eastAsia="Consolas" w:hAnsi="Consolas"/>
          <w:color w:val="0A0A0B"/>
          <w:sz w:val="20"/>
          <w:szCs w:val="20"/>
        </w:rPr>
        <w:t xml:space="preserve">ROLE_ADMIN</w:t>
      </w:r>
      <w:r>
        <w:rPr>
          <w:rFonts w:ascii="Calibri" w:cs="Calibri" w:eastAsia="Calibri" w:hAnsi="Calibri"/>
          <w:color w:val="0A0A0B"/>
          <w:sz w:val="22"/>
          <w:szCs w:val="22"/>
        </w:rPr>
        <w:t xml:space="preserve">.</w:t>
      </w:r>
    </w:p>
    <w:p>
      <w:pPr>
        <w:spacing w:after="120" w:before="0" w:line="320"/>
        <w:jc w:val="both"/>
      </w:pPr>
      <w:r>
        <w:rPr>
          <w:rFonts w:ascii="Calibri" w:cs="Calibri" w:eastAsia="Calibri" w:hAnsi="Calibri"/>
          <w:b/>
          <w:bCs/>
          <w:color w:val="0A0A0B"/>
          <w:sz w:val="22"/>
          <w:szCs w:val="22"/>
        </w:rPr>
        <w:t xml:space="preserve">Acteurs secondaires</w:t>
      </w:r>
      <w:r>
        <w:rPr>
          <w:rFonts w:ascii="Calibri" w:cs="Calibri" w:eastAsia="Calibri" w:hAnsi="Calibri"/>
          <w:color w:val="0A0A0B"/>
          <w:sz w:val="22"/>
          <w:szCs w:val="22"/>
        </w:rPr>
        <w:t xml:space="preserve"> — le Registre ERP (système tunisien fournissant les données d'immatriculation Tesla), le Réviseur humain (arbitre les dossiers étrangers), le service SMS Twilio, le service e-mail SMTP, et le Stockage fichiers (cartes grises numérisées).</w:t>
      </w:r>
    </w:p>
    <w:p>
      <w:pPr>
        <w:pStyle w:val="Heading2"/>
        <w:spacing w:after="120" w:before="240"/>
      </w:pPr>
      <w:r>
        <w:rPr>
          <w:rFonts w:ascii="Calibri" w:cs="Calibri" w:eastAsia="Calibri" w:hAnsi="Calibri"/>
          <w:b/>
          <w:bCs/>
          <w:color w:val="0A0A0B"/>
          <w:sz w:val="26"/>
          <w:szCs w:val="26"/>
        </w:rPr>
        <w:t xml:space="preserve">3.2 Relations notables</w:t>
      </w:r>
    </w:p>
    <w:p>
      <w:pPr>
        <w:pStyle w:val="ListParagraph"/>
        <w:numPr>
          <w:ilvl w:val="0"/>
          <w:numId w:val="2"/>
        </w:numPr>
        <w:spacing w:after="60" w:line="300"/>
      </w:pPr>
      <w:r>
        <w:rPr>
          <w:rFonts w:ascii="Calibri" w:cs="Calibri" w:eastAsia="Calibri" w:hAnsi="Calibri"/>
          <w:color w:val="0A0A0B"/>
          <w:sz w:val="22"/>
          <w:szCs w:val="22"/>
        </w:rPr>
        <w:t xml:space="preserve">Vérifier véhicule local «include» Consulter ERP et «include» Limiter le débit — toute tentative de vérification passe par le rate-limiter IP avant de sonder le registre.</w:t>
      </w:r>
    </w:p>
    <w:p>
      <w:pPr>
        <w:pStyle w:val="ListParagraph"/>
        <w:numPr>
          <w:ilvl w:val="0"/>
          <w:numId w:val="2"/>
        </w:numPr>
        <w:spacing w:after="60" w:line="300"/>
      </w:pPr>
      <w:r>
        <w:rPr>
          <w:rFonts w:ascii="Calibri" w:cs="Calibri" w:eastAsia="Calibri" w:hAnsi="Calibri"/>
          <w:color w:val="0A0A0B"/>
          <w:sz w:val="22"/>
          <w:szCs w:val="22"/>
        </w:rPr>
        <w:t xml:space="preserve">Vérifier véhicule étranger «include» Téléverser carte grise et «include» Arbitrer dossier étranger — la revue humaine est une étape obligatoire, asynchrone.</w:t>
      </w:r>
    </w:p>
    <w:p>
      <w:pPr>
        <w:pStyle w:val="ListParagraph"/>
        <w:numPr>
          <w:ilvl w:val="0"/>
          <w:numId w:val="2"/>
        </w:numPr>
        <w:spacing w:after="60" w:line="300"/>
      </w:pPr>
      <w:r>
        <w:rPr>
          <w:rFonts w:ascii="Calibri" w:cs="Calibri" w:eastAsia="Calibri" w:hAnsi="Calibri"/>
          <w:color w:val="0A0A0B"/>
          <w:sz w:val="22"/>
          <w:szCs w:val="22"/>
        </w:rPr>
        <w:t xml:space="preserve">Créer un compte est précédé («precondition») par la vérification du véhicule : le verificationToken issu de l'étape précédente conditionne l'appel. Il inclut aussi Confirmer l'adresse e-mail (envoi automatique du mail de confirmation).</w:t>
      </w:r>
    </w:p>
    <w:p>
      <w:pPr>
        <w:pStyle w:val="ListParagraph"/>
        <w:numPr>
          <w:ilvl w:val="0"/>
          <w:numId w:val="2"/>
        </w:numPr>
        <w:spacing w:after="60" w:line="300"/>
      </w:pPr>
      <w:r>
        <w:rPr>
          <w:rFonts w:ascii="Calibri" w:cs="Calibri" w:eastAsia="Calibri" w:hAnsi="Calibri"/>
          <w:color w:val="0A0A0B"/>
          <w:sz w:val="22"/>
          <w:szCs w:val="22"/>
        </w:rPr>
        <w:t xml:space="preserve">Se connecter «include» Vérifier OTP et Limiter le débit ; Verrouiller le compte «extend» Se connecter après N échecs successifs — c'est l'extension comportementale classique en UML.</w:t>
      </w:r>
    </w:p>
    <w:p>
      <w:pPr>
        <w:pStyle w:val="Heading2"/>
        <w:spacing w:after="120" w:before="240"/>
      </w:pPr>
      <w:r>
        <w:rPr>
          <w:rFonts w:ascii="Calibri" w:cs="Calibri" w:eastAsia="Calibri" w:hAnsi="Calibri"/>
          <w:b/>
          <w:bCs/>
          <w:color w:val="0A0A0B"/>
          <w:sz w:val="26"/>
          <w:szCs w:val="26"/>
        </w:rPr>
        <w:t xml:space="preserve">3.3 Invariants de sécurité</w:t>
      </w:r>
    </w:p>
    <w:p>
      <w:pPr>
        <w:pStyle w:val="ListParagraph"/>
        <w:numPr>
          <w:ilvl w:val="0"/>
          <w:numId w:val="2"/>
        </w:numPr>
        <w:spacing w:after="60" w:line="300"/>
      </w:pPr>
      <w:r>
        <w:rPr>
          <w:rFonts w:ascii="Calibri" w:cs="Calibri" w:eastAsia="Calibri" w:hAnsi="Calibri"/>
          <w:color w:val="0A0A0B"/>
          <w:sz w:val="22"/>
          <w:szCs w:val="22"/>
        </w:rPr>
        <w:t xml:space="preserve">Toute porte d'entrée publique (vérification, inscription, login, OTP) est protégée par rate-limit IP (Redis).</w:t>
      </w:r>
    </w:p>
    <w:p>
      <w:pPr>
        <w:pStyle w:val="ListParagraph"/>
        <w:numPr>
          <w:ilvl w:val="0"/>
          <w:numId w:val="2"/>
        </w:numPr>
        <w:spacing w:after="60" w:line="300"/>
      </w:pPr>
      <w:r>
        <w:rPr>
          <w:rFonts w:ascii="Calibri" w:cs="Calibri" w:eastAsia="Calibri" w:hAnsi="Calibri"/>
          <w:color w:val="0A0A0B"/>
          <w:sz w:val="22"/>
          <w:szCs w:val="22"/>
        </w:rPr>
        <w:t xml:space="preserve">Les JWT sont stateless ; seule la table RefreshToken conserve un état (hash SHA-256, expiration, flag de révocation).</w:t>
      </w:r>
    </w:p>
    <w:p>
      <w:pPr>
        <w:pStyle w:val="ListParagraph"/>
        <w:numPr>
          <w:ilvl w:val="0"/>
          <w:numId w:val="2"/>
        </w:numPr>
        <w:spacing w:after="60" w:line="300"/>
      </w:pPr>
      <w:r>
        <w:rPr>
          <w:rFonts w:ascii="Calibri" w:cs="Calibri" w:eastAsia="Calibri" w:hAnsi="Calibri"/>
          <w:color w:val="0A0A0B"/>
          <w:sz w:val="22"/>
          <w:szCs w:val="22"/>
        </w:rPr>
        <w:t xml:space="preserve">L'administration est inaccessible tant que ROLE_ADMIN n'est pas présent dans les claims du JWT — vérification systématique par le filtre Spring Security.</w:t>
      </w:r>
    </w:p>
    <w:p>
      <w:r>
        <w:br w:type="page"/>
      </w:r>
    </w:p>
    <w:p>
      <w:pPr>
        <w:pStyle w:val="Heading1"/>
        <w:spacing w:after="120" w:before="240"/>
      </w:pPr>
      <w:r>
        <w:rPr>
          <w:rFonts w:ascii="Calibri" w:cs="Calibri" w:eastAsia="Calibri" w:hAnsi="Calibri"/>
          <w:b/>
          <w:bCs/>
          <w:color w:val="0A0A0B"/>
          <w:sz w:val="26"/>
          <w:szCs w:val="26"/>
        </w:rPr>
        <w:t xml:space="preserve">4. Diagramme de classes</w:t>
      </w:r>
    </w:p>
    <w:p>
      <w:pPr>
        <w:spacing w:after="240" w:before="40"/>
        <w:jc w:val="center"/>
      </w:pPr>
      <w:r>
        <w:rPr>
          <w:rFonts w:ascii="Calibri" w:cs="Calibri" w:eastAsia="Calibri" w:hAnsi="Calibri"/>
          <w:i/>
          <w:iCs/>
          <w:color w:val="6B6863"/>
          <w:sz w:val="24"/>
          <w:szCs w:val="24"/>
        </w:rPr>
        <w:t xml:space="preserve">Modèle du domaine — agrégats, objets-valeur, services applicatifs</w:t>
      </w:r>
    </w:p>
    <w:p>
      <w:pPr>
        <w:spacing w:after="120" w:before="120"/>
        <w:jc w:val="center"/>
      </w:pPr>
      <w:r>
        <w:drawing>
          <wp:inline distT="0" distB="0" distL="0" distR="0">
            <wp:extent cx="6477000" cy="4714875"/>
            <wp:effectExtent t="0" r="0" b="0" l="0"/>
            <wp:docPr id="1" name="diagramme"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714875"/>
                    </a:xfrm>
                    <a:prstGeom prst="rect">
                      <a:avLst/>
                    </a:prstGeom>
                  </pic:spPr>
                </pic:pic>
              </a:graphicData>
            </a:graphic>
          </wp:inline>
        </w:drawing>
      </w:r>
    </w:p>
    <w:p>
      <w:pPr>
        <w:spacing w:after="200"/>
        <w:jc w:val="center"/>
      </w:pPr>
      <w:r>
        <w:rPr>
          <w:rFonts w:ascii="Calibri" w:cs="Calibri" w:eastAsia="Calibri" w:hAnsi="Calibri"/>
          <w:i/>
          <w:iCs/>
          <w:color w:val="6B6863"/>
          <w:sz w:val="20"/>
          <w:szCs w:val="20"/>
        </w:rPr>
        <w:t xml:space="preserve">Figure 2 — Diagramme de classes (modèle du domaine DDD)</w:t>
      </w:r>
    </w:p>
    <w:p>
      <w:pPr>
        <w:pStyle w:val="Heading2"/>
        <w:spacing w:after="120" w:before="240"/>
      </w:pPr>
      <w:r>
        <w:rPr>
          <w:rFonts w:ascii="Calibri" w:cs="Calibri" w:eastAsia="Calibri" w:hAnsi="Calibri"/>
          <w:b/>
          <w:bCs/>
          <w:color w:val="0A0A0B"/>
          <w:sz w:val="26"/>
          <w:szCs w:val="26"/>
        </w:rPr>
        <w:t xml:space="preserve">4.1 Lecture en couches</w:t>
      </w:r>
    </w:p>
    <w:p>
      <w:pPr>
        <w:spacing w:after="120" w:before="0" w:line="320"/>
        <w:jc w:val="both"/>
      </w:pPr>
      <w:r>
        <w:rPr>
          <w:rFonts w:ascii="Calibri" w:cs="Calibri" w:eastAsia="Calibri" w:hAnsi="Calibri"/>
          <w:color w:val="0A0A0B"/>
          <w:sz w:val="22"/>
          <w:szCs w:val="22"/>
        </w:rPr>
        <w:t xml:space="preserve">Le diagramme est organisé en cinq paquets hiérarchiques. Au-dessus, les </w:t>
      </w:r>
      <w:r>
        <w:rPr>
          <w:rFonts w:ascii="Calibri" w:cs="Calibri" w:eastAsia="Calibri" w:hAnsi="Calibri"/>
          <w:b/>
          <w:bCs/>
          <w:color w:val="0A0A0B"/>
          <w:sz w:val="22"/>
          <w:szCs w:val="22"/>
        </w:rPr>
        <w:t xml:space="preserve">énumérations</w:t>
      </w:r>
      <w:r>
        <w:rPr>
          <w:rFonts w:ascii="Calibri" w:cs="Calibri" w:eastAsia="Calibri" w:hAnsi="Calibri"/>
          <w:color w:val="0A0A0B"/>
          <w:sz w:val="22"/>
          <w:szCs w:val="22"/>
        </w:rPr>
        <w:t xml:space="preserve"> codifient les valeurs fermées du vocabulaire métier (rôles, modèles Tesla, types de plaques, statuts). Elles n'ont pas de comportement propre ; elles servent de types de champ.</w:t>
      </w:r>
    </w:p>
    <w:p>
      <w:pPr>
        <w:spacing w:after="120" w:before="0" w:line="320"/>
        <w:jc w:val="both"/>
      </w:pPr>
      <w:r>
        <w:rPr>
          <w:rFonts w:ascii="Calibri" w:cs="Calibri" w:eastAsia="Calibri" w:hAnsi="Calibri"/>
          <w:color w:val="0A0A0B"/>
          <w:sz w:val="22"/>
          <w:szCs w:val="22"/>
        </w:rPr>
        <w:t xml:space="preserve">Au cœur du modèle, le paquet </w:t>
      </w:r>
      <w:r>
        <w:rPr>
          <w:rFonts w:ascii="Calibri" w:cs="Calibri" w:eastAsia="Calibri" w:hAnsi="Calibri"/>
          <w:b/>
          <w:bCs/>
          <w:color w:val="0A0A0B"/>
          <w:sz w:val="22"/>
          <w:szCs w:val="22"/>
        </w:rPr>
        <w:t xml:space="preserve">Identité &amp; Accès</w:t>
      </w:r>
      <w:r>
        <w:rPr>
          <w:rFonts w:ascii="Calibri" w:cs="Calibri" w:eastAsia="Calibri" w:hAnsi="Calibri"/>
          <w:color w:val="0A0A0B"/>
          <w:sz w:val="22"/>
          <w:szCs w:val="22"/>
        </w:rPr>
        <w:t xml:space="preserve"> héberge l'agrégat </w:t>
      </w:r>
      <w:r>
        <w:rPr>
          <w:rFonts w:ascii="Consolas" w:cs="Consolas" w:eastAsia="Consolas" w:hAnsi="Consolas"/>
          <w:color w:val="0A0A0B"/>
          <w:sz w:val="20"/>
          <w:szCs w:val="20"/>
        </w:rPr>
        <w:t xml:space="preserve">User</w:t>
      </w:r>
      <w:r>
        <w:rPr>
          <w:rFonts w:ascii="Calibri" w:cs="Calibri" w:eastAsia="Calibri" w:hAnsi="Calibri"/>
          <w:color w:val="0A0A0B"/>
          <w:sz w:val="22"/>
          <w:szCs w:val="22"/>
        </w:rPr>
        <w:t xml:space="preserve"> — marqué d'une pastille rouge A — et ses entités filles </w:t>
      </w:r>
      <w:r>
        <w:rPr>
          <w:rFonts w:ascii="Consolas" w:cs="Consolas" w:eastAsia="Consolas" w:hAnsi="Consolas"/>
          <w:color w:val="0A0A0B"/>
          <w:sz w:val="20"/>
          <w:szCs w:val="20"/>
        </w:rPr>
        <w:t xml:space="preserve">RefreshToken</w:t>
      </w:r>
      <w:r>
        <w:rPr>
          <w:rFonts w:ascii="Calibri" w:cs="Calibri" w:eastAsia="Calibri" w:hAnsi="Calibri"/>
          <w:color w:val="0A0A0B"/>
          <w:sz w:val="22"/>
          <w:szCs w:val="22"/>
        </w:rPr>
        <w:t xml:space="preserve">, </w:t>
      </w:r>
      <w:r>
        <w:rPr>
          <w:rFonts w:ascii="Consolas" w:cs="Consolas" w:eastAsia="Consolas" w:hAnsi="Consolas"/>
          <w:color w:val="0A0A0B"/>
          <w:sz w:val="20"/>
          <w:szCs w:val="20"/>
        </w:rPr>
        <w:t xml:space="preserve">OtpCode</w:t>
      </w:r>
      <w:r>
        <w:rPr>
          <w:rFonts w:ascii="Calibri" w:cs="Calibri" w:eastAsia="Calibri" w:hAnsi="Calibri"/>
          <w:color w:val="0A0A0B"/>
          <w:sz w:val="22"/>
          <w:szCs w:val="22"/>
        </w:rPr>
        <w:t xml:space="preserve"> et </w:t>
      </w:r>
      <w:r>
        <w:rPr>
          <w:rFonts w:ascii="Consolas" w:cs="Consolas" w:eastAsia="Consolas" w:hAnsi="Consolas"/>
          <w:color w:val="0A0A0B"/>
          <w:sz w:val="20"/>
          <w:szCs w:val="20"/>
        </w:rPr>
        <w:t xml:space="preserve">EmailVerificationToken</w:t>
      </w:r>
      <w:r>
        <w:rPr>
          <w:rFonts w:ascii="Calibri" w:cs="Calibri" w:eastAsia="Calibri" w:hAnsi="Calibri"/>
          <w:color w:val="0A0A0B"/>
          <w:sz w:val="22"/>
          <w:szCs w:val="22"/>
        </w:rPr>
        <w:t xml:space="preserve">. Les trois sont en composition forte (losange plein) : leur cycle de vie est lié à celui de l'utilisateur. L'objet-valeur </w:t>
      </w:r>
      <w:r>
        <w:rPr>
          <w:rFonts w:ascii="Consolas" w:cs="Consolas" w:eastAsia="Consolas" w:hAnsi="Consolas"/>
          <w:color w:val="0A0A0B"/>
          <w:sz w:val="20"/>
          <w:szCs w:val="20"/>
        </w:rPr>
        <w:t xml:space="preserve">VerificationToken</w:t>
      </w:r>
      <w:r>
        <w:rPr>
          <w:rFonts w:ascii="Calibri" w:cs="Calibri" w:eastAsia="Calibri" w:hAnsi="Calibri"/>
          <w:color w:val="0A0A0B"/>
          <w:sz w:val="22"/>
          <w:szCs w:val="22"/>
        </w:rPr>
        <w:t xml:space="preserve"> trace la preuve que le véhicule a été vérifié avant inscription ; il est consommé exactement une fois.</w:t>
      </w:r>
    </w:p>
    <w:p>
      <w:pPr>
        <w:spacing w:after="120" w:before="0" w:line="320"/>
        <w:jc w:val="both"/>
      </w:pPr>
      <w:r>
        <w:rPr>
          <w:rFonts w:ascii="Calibri" w:cs="Calibri" w:eastAsia="Calibri" w:hAnsi="Calibri"/>
          <w:color w:val="0A0A0B"/>
          <w:sz w:val="22"/>
          <w:szCs w:val="22"/>
        </w:rPr>
        <w:t xml:space="preserve">Le paquet </w:t>
      </w:r>
      <w:r>
        <w:rPr>
          <w:rFonts w:ascii="Calibri" w:cs="Calibri" w:eastAsia="Calibri" w:hAnsi="Calibri"/>
          <w:b/>
          <w:bCs/>
          <w:color w:val="0A0A0B"/>
          <w:sz w:val="22"/>
          <w:szCs w:val="22"/>
        </w:rPr>
        <w:t xml:space="preserve">Véhicules</w:t>
      </w:r>
      <w:r>
        <w:rPr>
          <w:rFonts w:ascii="Calibri" w:cs="Calibri" w:eastAsia="Calibri" w:hAnsi="Calibri"/>
          <w:color w:val="0A0A0B"/>
          <w:sz w:val="22"/>
          <w:szCs w:val="22"/>
        </w:rPr>
        <w:t xml:space="preserve"> formalise les deux sources de vérité : </w:t>
      </w:r>
      <w:r>
        <w:rPr>
          <w:rFonts w:ascii="Consolas" w:cs="Consolas" w:eastAsia="Consolas" w:hAnsi="Consolas"/>
          <w:color w:val="0A0A0B"/>
          <w:sz w:val="20"/>
          <w:szCs w:val="20"/>
        </w:rPr>
        <w:t xml:space="preserve">ErpTeslaLocal</w:t>
      </w:r>
      <w:r>
        <w:rPr>
          <w:rFonts w:ascii="Calibri" w:cs="Calibri" w:eastAsia="Calibri" w:hAnsi="Calibri"/>
          <w:color w:val="0A0A0B"/>
          <w:sz w:val="22"/>
          <w:szCs w:val="22"/>
        </w:rPr>
        <w:t xml:space="preserve"> (le registre officiel des Tesla tunisiens) et </w:t>
      </w:r>
      <w:r>
        <w:rPr>
          <w:rFonts w:ascii="Consolas" w:cs="Consolas" w:eastAsia="Consolas" w:hAnsi="Consolas"/>
          <w:color w:val="0A0A0B"/>
          <w:sz w:val="20"/>
          <w:szCs w:val="20"/>
        </w:rPr>
        <w:t xml:space="preserve">ErpTeslaForeign</w:t>
      </w:r>
      <w:r>
        <w:rPr>
          <w:rFonts w:ascii="Calibri" w:cs="Calibri" w:eastAsia="Calibri" w:hAnsi="Calibri"/>
          <w:color w:val="0A0A0B"/>
          <w:sz w:val="22"/>
          <w:szCs w:val="22"/>
        </w:rPr>
        <w:t xml:space="preserve"> (la file d'attente de dossiers étrangers à arbitrer). Ce dernier porte un statut de revue et un historique traçable.</w:t>
      </w:r>
    </w:p>
    <w:p>
      <w:pPr>
        <w:spacing w:after="120" w:before="0" w:line="320"/>
        <w:jc w:val="both"/>
      </w:pPr>
      <w:r>
        <w:rPr>
          <w:rFonts w:ascii="Calibri" w:cs="Calibri" w:eastAsia="Calibri" w:hAnsi="Calibri"/>
          <w:color w:val="0A0A0B"/>
          <w:sz w:val="22"/>
          <w:szCs w:val="22"/>
        </w:rPr>
        <w:t xml:space="preserve">Le paquet </w:t>
      </w:r>
      <w:r>
        <w:rPr>
          <w:rFonts w:ascii="Calibri" w:cs="Calibri" w:eastAsia="Calibri" w:hAnsi="Calibri"/>
          <w:b/>
          <w:bCs/>
          <w:color w:val="0A0A0B"/>
          <w:sz w:val="22"/>
          <w:szCs w:val="22"/>
        </w:rPr>
        <w:t xml:space="preserve">Réseau de bornes</w:t>
      </w:r>
      <w:r>
        <w:rPr>
          <w:rFonts w:ascii="Calibri" w:cs="Calibri" w:eastAsia="Calibri" w:hAnsi="Calibri"/>
          <w:color w:val="0A0A0B"/>
          <w:sz w:val="22"/>
          <w:szCs w:val="22"/>
        </w:rPr>
        <w:t xml:space="preserve"> expose </w:t>
      </w:r>
      <w:r>
        <w:rPr>
          <w:rFonts w:ascii="Consolas" w:cs="Consolas" w:eastAsia="Consolas" w:hAnsi="Consolas"/>
          <w:color w:val="0A0A0B"/>
          <w:sz w:val="20"/>
          <w:szCs w:val="20"/>
        </w:rPr>
        <w:t xml:space="preserve">Station</w:t>
      </w:r>
      <w:r>
        <w:rPr>
          <w:rFonts w:ascii="Calibri" w:cs="Calibri" w:eastAsia="Calibri" w:hAnsi="Calibri"/>
          <w:color w:val="0A0A0B"/>
          <w:sz w:val="22"/>
          <w:szCs w:val="22"/>
        </w:rPr>
        <w:t xml:space="preserve"> — une entité géolocalisée — qui compose </w:t>
      </w:r>
      <w:r>
        <w:rPr>
          <w:rFonts w:ascii="Consolas" w:cs="Consolas" w:eastAsia="Consolas" w:hAnsi="Consolas"/>
          <w:color w:val="0A0A0B"/>
          <w:sz w:val="20"/>
          <w:szCs w:val="20"/>
        </w:rPr>
        <w:t xml:space="preserve">ChargingPort</w:t>
      </w:r>
      <w:r>
        <w:rPr>
          <w:rFonts w:ascii="Calibri" w:cs="Calibri" w:eastAsia="Calibri" w:hAnsi="Calibri"/>
          <w:color w:val="0A0A0B"/>
          <w:sz w:val="22"/>
          <w:szCs w:val="22"/>
        </w:rPr>
        <w:t xml:space="preserve"> (1..* par station). La recherche de bornes proches du propriétaire opère la projection haversine sur les coordonnées et filtre les ports compatibles avec le connecteur du modèle Tesla.</w:t>
      </w:r>
    </w:p>
    <w:p>
      <w:pPr>
        <w:spacing w:after="120" w:before="0" w:line="320"/>
        <w:jc w:val="both"/>
      </w:pPr>
      <w:r>
        <w:rPr>
          <w:rFonts w:ascii="Calibri" w:cs="Calibri" w:eastAsia="Calibri" w:hAnsi="Calibri"/>
          <w:color w:val="0A0A0B"/>
          <w:sz w:val="22"/>
          <w:szCs w:val="22"/>
        </w:rPr>
        <w:t xml:space="preserve">Le paquet </w:t>
      </w:r>
      <w:r>
        <w:rPr>
          <w:rFonts w:ascii="Calibri" w:cs="Calibri" w:eastAsia="Calibri" w:hAnsi="Calibri"/>
          <w:b/>
          <w:bCs/>
          <w:color w:val="0A0A0B"/>
          <w:sz w:val="22"/>
          <w:szCs w:val="22"/>
        </w:rPr>
        <w:t xml:space="preserve">Transverse</w:t>
      </w:r>
      <w:r>
        <w:rPr>
          <w:rFonts w:ascii="Calibri" w:cs="Calibri" w:eastAsia="Calibri" w:hAnsi="Calibri"/>
          <w:color w:val="0A0A0B"/>
          <w:sz w:val="22"/>
          <w:szCs w:val="22"/>
        </w:rPr>
        <w:t xml:space="preserve"> regroupe deux utilitaires structurels : </w:t>
      </w:r>
      <w:r>
        <w:rPr>
          <w:rFonts w:ascii="Consolas" w:cs="Consolas" w:eastAsia="Consolas" w:hAnsi="Consolas"/>
          <w:color w:val="0A0A0B"/>
          <w:sz w:val="20"/>
          <w:szCs w:val="20"/>
        </w:rPr>
        <w:t xml:space="preserve">RateLimitBucket</w:t>
      </w:r>
      <w:r>
        <w:rPr>
          <w:rFonts w:ascii="Calibri" w:cs="Calibri" w:eastAsia="Calibri" w:hAnsi="Calibri"/>
          <w:color w:val="0A0A0B"/>
          <w:sz w:val="22"/>
          <w:szCs w:val="22"/>
        </w:rPr>
        <w:t xml:space="preserve"> (objet-valeur persisté en Redis) et </w:t>
      </w:r>
      <w:r>
        <w:rPr>
          <w:rFonts w:ascii="Consolas" w:cs="Consolas" w:eastAsia="Consolas" w:hAnsi="Consolas"/>
          <w:color w:val="0A0A0B"/>
          <w:sz w:val="20"/>
          <w:szCs w:val="20"/>
        </w:rPr>
        <w:t xml:space="preserve">AuditEvent</w:t>
      </w:r>
      <w:r>
        <w:rPr>
          <w:rFonts w:ascii="Calibri" w:cs="Calibri" w:eastAsia="Calibri" w:hAnsi="Calibri"/>
          <w:color w:val="0A0A0B"/>
          <w:sz w:val="22"/>
          <w:szCs w:val="22"/>
        </w:rPr>
        <w:t xml:space="preserve"> (journal d'événements pour la conformité).</w:t>
      </w:r>
    </w:p>
    <w:p>
      <w:pPr>
        <w:spacing w:after="120" w:before="0" w:line="320"/>
        <w:jc w:val="both"/>
      </w:pPr>
      <w:r>
        <w:rPr>
          <w:rFonts w:ascii="Calibri" w:cs="Calibri" w:eastAsia="Calibri" w:hAnsi="Calibri"/>
          <w:color w:val="0A0A0B"/>
          <w:sz w:val="22"/>
          <w:szCs w:val="22"/>
        </w:rPr>
        <w:t xml:space="preserve">Enfin, le paquet </w:t>
      </w:r>
      <w:r>
        <w:rPr>
          <w:rFonts w:ascii="Calibri" w:cs="Calibri" w:eastAsia="Calibri" w:hAnsi="Calibri"/>
          <w:b/>
          <w:bCs/>
          <w:color w:val="0A0A0B"/>
          <w:sz w:val="22"/>
          <w:szCs w:val="22"/>
        </w:rPr>
        <w:t xml:space="preserve">Services du domaine</w:t>
      </w:r>
      <w:r>
        <w:rPr>
          <w:rFonts w:ascii="Calibri" w:cs="Calibri" w:eastAsia="Calibri" w:hAnsi="Calibri"/>
          <w:color w:val="0A0A0B"/>
          <w:sz w:val="22"/>
          <w:szCs w:val="22"/>
        </w:rPr>
        <w:t xml:space="preserve"> expose les huit services applicatifs. Ils ne possèdent pas d'état propre ; ils orchestrent les entités et les dépôts. Les dépendances en pointillé matérialisent la relation «use».</w:t>
      </w:r>
    </w:p>
    <w:p>
      <w:pPr>
        <w:pStyle w:val="Heading2"/>
        <w:spacing w:after="120" w:before="240"/>
      </w:pPr>
      <w:r>
        <w:rPr>
          <w:rFonts w:ascii="Calibri" w:cs="Calibri" w:eastAsia="Calibri" w:hAnsi="Calibri"/>
          <w:b/>
          <w:bCs/>
          <w:color w:val="0A0A0B"/>
          <w:sz w:val="26"/>
          <w:szCs w:val="26"/>
        </w:rPr>
        <w:t xml:space="preserve">4.2 Invariants &amp; règles d'intégrité</w:t>
      </w:r>
    </w:p>
    <w:p>
      <w:pPr>
        <w:pStyle w:val="ListParagraph"/>
        <w:numPr>
          <w:ilvl w:val="0"/>
          <w:numId w:val="2"/>
        </w:numPr>
        <w:spacing w:after="60" w:line="300"/>
      </w:pPr>
      <w:r>
        <w:rPr>
          <w:rFonts w:ascii="Calibri" w:cs="Calibri" w:eastAsia="Calibri" w:hAnsi="Calibri"/>
          <w:color w:val="0A0A0B"/>
          <w:sz w:val="22"/>
          <w:szCs w:val="22"/>
        </w:rPr>
        <w:t xml:space="preserve">User.email est unique sans casse ; passwordHash est toujours un hash BCrypt à 12 rounds — jamais le mot de passe en clair.</w:t>
      </w:r>
    </w:p>
    <w:p>
      <w:pPr>
        <w:pStyle w:val="ListParagraph"/>
        <w:numPr>
          <w:ilvl w:val="0"/>
          <w:numId w:val="2"/>
        </w:numPr>
        <w:spacing w:after="60" w:line="300"/>
      </w:pPr>
      <w:r>
        <w:rPr>
          <w:rFonts w:ascii="Calibri" w:cs="Calibri" w:eastAsia="Calibri" w:hAnsi="Calibri"/>
          <w:color w:val="0A0A0B"/>
          <w:sz w:val="22"/>
          <w:szCs w:val="22"/>
        </w:rPr>
        <w:t xml:space="preserve">RefreshToken.tokenHash est le SHA-256 du JWT — la chaîne en clair n'est jamais stockée. Chaque appel à refresh révoque l'ancien et en émet un nouveau.</w:t>
      </w:r>
    </w:p>
    <w:p>
      <w:pPr>
        <w:pStyle w:val="ListParagraph"/>
        <w:numPr>
          <w:ilvl w:val="0"/>
          <w:numId w:val="2"/>
        </w:numPr>
        <w:spacing w:after="60" w:line="300"/>
      </w:pPr>
      <w:r>
        <w:rPr>
          <w:rFonts w:ascii="Calibri" w:cs="Calibri" w:eastAsia="Calibri" w:hAnsi="Calibri"/>
          <w:color w:val="0A0A0B"/>
          <w:sz w:val="22"/>
          <w:szCs w:val="22"/>
        </w:rPr>
        <w:t xml:space="preserve">OtpCode.expiresAt est strictement inférieur à 5 minutes après issuedAt ; après 5 tentatives erronées, le code est détruit et un reset doit être demandé.</w:t>
      </w:r>
    </w:p>
    <w:p>
      <w:pPr>
        <w:pStyle w:val="ListParagraph"/>
        <w:numPr>
          <w:ilvl w:val="0"/>
          <w:numId w:val="2"/>
        </w:numPr>
        <w:spacing w:after="60" w:line="300"/>
      </w:pPr>
      <w:r>
        <w:rPr>
          <w:rFonts w:ascii="Calibri" w:cs="Calibri" w:eastAsia="Calibri" w:hAnsi="Calibri"/>
          <w:color w:val="0A0A0B"/>
          <w:sz w:val="22"/>
          <w:szCs w:val="22"/>
        </w:rPr>
        <w:t xml:space="preserve">VerificationToken.consumed est un flag monotone (faux → vrai) ; il ne peut jamais redevenir faux. Cela garantit qu'un jeton de vérification ne serve jamais à créer deux comptes.</w:t>
      </w:r>
    </w:p>
    <w:p>
      <w:pPr>
        <w:pStyle w:val="ListParagraph"/>
        <w:numPr>
          <w:ilvl w:val="0"/>
          <w:numId w:val="2"/>
        </w:numPr>
        <w:spacing w:after="60" w:line="300"/>
      </w:pPr>
      <w:r>
        <w:rPr>
          <w:rFonts w:ascii="Calibri" w:cs="Calibri" w:eastAsia="Calibri" w:hAnsi="Calibri"/>
          <w:color w:val="0A0A0B"/>
          <w:sz w:val="22"/>
          <w:szCs w:val="22"/>
        </w:rPr>
        <w:t xml:space="preserve">ErpTeslaForeign.reviewStatus suit une machine à trois états (PENDING → APPROVED|REJECTED). Seule la transition PENDING vers état terminal est permise.</w:t>
      </w:r>
    </w:p>
    <w:p>
      <w:pPr>
        <w:pStyle w:val="Heading2"/>
        <w:spacing w:after="120" w:before="240"/>
      </w:pPr>
      <w:r>
        <w:rPr>
          <w:rFonts w:ascii="Calibri" w:cs="Calibri" w:eastAsia="Calibri" w:hAnsi="Calibri"/>
          <w:b/>
          <w:bCs/>
          <w:color w:val="0A0A0B"/>
          <w:sz w:val="26"/>
          <w:szCs w:val="26"/>
        </w:rPr>
        <w:t xml:space="preserve">4.3 Choix de conception justifiés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Décision</w:t>
            </w:r>
          </w:p>
        </w:tc>
        <w:tc>
          <w:tcPr>
            <w:tcW w:type="dxa" w:w="45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Justification</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RefreshToken en composition (non agrégation)</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L'utilisateur est la seule entité à qui le jeton a un sens ; la suppression du compte doit supprimer les jetons en cascade.</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VerificationToken modélisé comme objet-valeur</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Il n'a pas d'identité propre au-delà de sa valeur ; il est immuable et jetable.</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EmailVerificationToken séparé d'OtpCode</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Deux cas d'usage distincts (confirmation d'e-mail vs challenge de connexion) avec des TTL et canaux différents.</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AuditEvent non relié aux entités métier</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Journal indépendant et append-only ; un lien relationnel fragiliserait sa résilience.</w:t>
            </w:r>
          </w:p>
        </w:tc>
      </w:tr>
      <w:tr>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Services stateless (pas d'attributs)</w:t>
            </w:r>
          </w:p>
        </w:tc>
        <w:tc>
          <w:tcPr>
            <w:tcW w:type="dxa" w:w="45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Permet la scalabilité horizontale et facilite le test unitaire par injection de dépôts.</w:t>
            </w:r>
          </w:p>
        </w:tc>
      </w:tr>
    </w:tbl>
    <w:p>
      <w:r>
        <w:br w:type="page"/>
      </w:r>
    </w:p>
    <w:p>
      <w:pPr>
        <w:pStyle w:val="Heading1"/>
        <w:spacing w:after="120" w:before="240"/>
      </w:pPr>
      <w:r>
        <w:rPr>
          <w:rFonts w:ascii="Calibri" w:cs="Calibri" w:eastAsia="Calibri" w:hAnsi="Calibri"/>
          <w:b/>
          <w:bCs/>
          <w:color w:val="0A0A0B"/>
          <w:sz w:val="26"/>
          <w:szCs w:val="26"/>
        </w:rPr>
        <w:t xml:space="preserve">5. Diagramme de séquence</w:t>
      </w:r>
    </w:p>
    <w:p>
      <w:pPr>
        <w:spacing w:after="240" w:before="40"/>
        <w:jc w:val="center"/>
      </w:pPr>
      <w:r>
        <w:rPr>
          <w:rFonts w:ascii="Calibri" w:cs="Calibri" w:eastAsia="Calibri" w:hAnsi="Calibri"/>
          <w:i/>
          <w:iCs/>
          <w:color w:val="6B6863"/>
          <w:sz w:val="24"/>
          <w:szCs w:val="24"/>
        </w:rPr>
        <w:t xml:space="preserve">Scénario nominal — onboarding complet d'un propriétaire et accès aux bornes</w:t>
      </w:r>
    </w:p>
    <w:p>
      <w:pPr>
        <w:spacing w:after="120" w:before="0" w:line="320"/>
        <w:jc w:val="both"/>
      </w:pPr>
      <w:r>
        <w:rPr>
          <w:rFonts w:ascii="Calibri" w:cs="Calibri" w:eastAsia="Calibri" w:hAnsi="Calibri"/>
          <w:color w:val="0A0A0B"/>
          <w:sz w:val="22"/>
          <w:szCs w:val="22"/>
        </w:rPr>
        <w:t xml:space="preserve">Le diagramme suivant déroule le chemin de bout en bout d'un nouveau propriétaire, depuis la vérification de son véhicule jusqu'à l'affichage de la carte des bornes compatibles. Sept phases, délimitées par des bandeaux, se succèdent. Les chemins alternatifs (succès / échec) sont représentés par des cadres </w:t>
      </w:r>
      <w:r>
        <w:rPr>
          <w:rFonts w:ascii="Consolas" w:cs="Consolas" w:eastAsia="Consolas" w:hAnsi="Consolas"/>
          <w:color w:val="0A0A0B"/>
          <w:sz w:val="20"/>
          <w:szCs w:val="20"/>
        </w:rPr>
        <w:t xml:space="preserve">alt</w:t>
      </w:r>
      <w:r>
        <w:rPr>
          <w:rFonts w:ascii="Calibri" w:cs="Calibri" w:eastAsia="Calibri" w:hAnsi="Calibri"/>
          <w:color w:val="0A0A0B"/>
          <w:sz w:val="22"/>
          <w:szCs w:val="22"/>
        </w:rPr>
        <w:t xml:space="preserve"> conformément à la norme UML 2.5.</w:t>
      </w:r>
    </w:p>
    <w:p>
      <w:pPr>
        <w:spacing w:after="120" w:before="120"/>
        <w:jc w:val="center"/>
      </w:pPr>
      <w:r>
        <w:drawing>
          <wp:inline distT="0" distB="0" distL="0" distR="0">
            <wp:extent cx="6477000" cy="9648825"/>
            <wp:effectExtent t="0" r="0" b="0" l="0"/>
            <wp:docPr id="1" name="diagramme" descr="Diagramme UML"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9648825"/>
                    </a:xfrm>
                    <a:prstGeom prst="rect">
                      <a:avLst/>
                    </a:prstGeom>
                  </pic:spPr>
                </pic:pic>
              </a:graphicData>
            </a:graphic>
          </wp:inline>
        </w:drawing>
      </w:r>
    </w:p>
    <w:p>
      <w:pPr>
        <w:spacing w:after="200"/>
        <w:jc w:val="center"/>
      </w:pPr>
      <w:r>
        <w:rPr>
          <w:rFonts w:ascii="Calibri" w:cs="Calibri" w:eastAsia="Calibri" w:hAnsi="Calibri"/>
          <w:i/>
          <w:iCs/>
          <w:color w:val="6B6863"/>
          <w:sz w:val="20"/>
          <w:szCs w:val="20"/>
        </w:rPr>
        <w:t xml:space="preserve">Figure 3 — Diagramme de séquence complet (onboarding + accès + rotation de jetons)</w:t>
      </w:r>
    </w:p>
    <w:p>
      <w:pPr>
        <w:pStyle w:val="Heading2"/>
        <w:spacing w:after="120" w:before="240"/>
      </w:pPr>
      <w:r>
        <w:rPr>
          <w:rFonts w:ascii="Calibri" w:cs="Calibri" w:eastAsia="Calibri" w:hAnsi="Calibri"/>
          <w:b/>
          <w:bCs/>
          <w:color w:val="0A0A0B"/>
          <w:sz w:val="26"/>
          <w:szCs w:val="26"/>
        </w:rPr>
        <w:t xml:space="preserve">5.1 Phase 1 — Vérification du véhicule</w:t>
      </w:r>
    </w:p>
    <w:p>
      <w:pPr>
        <w:spacing w:after="120" w:before="0" w:line="320"/>
        <w:jc w:val="both"/>
      </w:pPr>
      <w:r>
        <w:rPr>
          <w:rFonts w:ascii="Calibri" w:cs="Calibri" w:eastAsia="Calibri" w:hAnsi="Calibri"/>
          <w:color w:val="0A0A0B"/>
          <w:sz w:val="22"/>
          <w:szCs w:val="22"/>
        </w:rPr>
        <w:t xml:space="preserve">Le visiteur saisit le numéro de châssis (VIN), la plaque et son type dans un formulaire de l'UI React. Le </w:t>
      </w:r>
      <w:r>
        <w:rPr>
          <w:rFonts w:ascii="Consolas" w:cs="Consolas" w:eastAsia="Consolas" w:hAnsi="Consolas"/>
          <w:color w:val="0A0A0B"/>
          <w:sz w:val="20"/>
          <w:szCs w:val="20"/>
        </w:rPr>
        <w:t xml:space="preserve">VehicleController</w:t>
      </w:r>
      <w:r>
        <w:rPr>
          <w:rFonts w:ascii="Calibri" w:cs="Calibri" w:eastAsia="Calibri" w:hAnsi="Calibri"/>
          <w:color w:val="0A0A0B"/>
          <w:sz w:val="22"/>
          <w:szCs w:val="22"/>
        </w:rPr>
        <w:t xml:space="preserve"> applique d'abord un rate-limit IP puis délègue au </w:t>
      </w:r>
      <w:r>
        <w:rPr>
          <w:rFonts w:ascii="Consolas" w:cs="Consolas" w:eastAsia="Consolas" w:hAnsi="Consolas"/>
          <w:color w:val="0A0A0B"/>
          <w:sz w:val="20"/>
          <w:szCs w:val="20"/>
        </w:rPr>
        <w:t xml:space="preserve">VehicleVerificationService</w:t>
      </w:r>
      <w:r>
        <w:rPr>
          <w:rFonts w:ascii="Calibri" w:cs="Calibri" w:eastAsia="Calibri" w:hAnsi="Calibri"/>
          <w:color w:val="0A0A0B"/>
          <w:sz w:val="22"/>
          <w:szCs w:val="22"/>
        </w:rPr>
        <w:t xml:space="preserve"> qui interroge le </w:t>
      </w:r>
      <w:r>
        <w:rPr>
          <w:rFonts w:ascii="Consolas" w:cs="Consolas" w:eastAsia="Consolas" w:hAnsi="Consolas"/>
          <w:color w:val="0A0A0B"/>
          <w:sz w:val="20"/>
          <w:szCs w:val="20"/>
        </w:rPr>
        <w:t xml:space="preserve">ErpTeslaLocalRepository</w:t>
      </w:r>
      <w:r>
        <w:rPr>
          <w:rFonts w:ascii="Calibri" w:cs="Calibri" w:eastAsia="Calibri" w:hAnsi="Calibri"/>
          <w:color w:val="0A0A0B"/>
          <w:sz w:val="22"/>
          <w:szCs w:val="22"/>
        </w:rPr>
        <w:t xml:space="preserve">. En cas de succès, un </w:t>
      </w:r>
      <w:r>
        <w:rPr>
          <w:rFonts w:ascii="Consolas" w:cs="Consolas" w:eastAsia="Consolas" w:hAnsi="Consolas"/>
          <w:color w:val="0A0A0B"/>
          <w:sz w:val="20"/>
          <w:szCs w:val="20"/>
        </w:rPr>
        <w:t xml:space="preserve">VerificationToken</w:t>
      </w:r>
      <w:r>
        <w:rPr>
          <w:rFonts w:ascii="Calibri" w:cs="Calibri" w:eastAsia="Calibri" w:hAnsi="Calibri"/>
          <w:color w:val="0A0A0B"/>
          <w:sz w:val="22"/>
          <w:szCs w:val="22"/>
        </w:rPr>
        <w:t xml:space="preserve"> (objet-valeur) est retourné au front-end, qui le stocke localement pour la suite du parcours. En cas d'échec, un 404 est retourné.</w:t>
      </w:r>
    </w:p>
    <w:p>
      <w:pPr>
        <w:pStyle w:val="Heading2"/>
        <w:spacing w:after="120" w:before="240"/>
      </w:pPr>
      <w:r>
        <w:rPr>
          <w:rFonts w:ascii="Calibri" w:cs="Calibri" w:eastAsia="Calibri" w:hAnsi="Calibri"/>
          <w:b/>
          <w:bCs/>
          <w:color w:val="0A0A0B"/>
          <w:sz w:val="26"/>
          <w:szCs w:val="26"/>
        </w:rPr>
        <w:t xml:space="preserve">5.2 Phase 2 — Création du compte</w:t>
      </w:r>
    </w:p>
    <w:p>
      <w:pPr>
        <w:spacing w:after="120" w:before="0" w:line="320"/>
        <w:jc w:val="both"/>
      </w:pPr>
      <w:r>
        <w:rPr>
          <w:rFonts w:ascii="Calibri" w:cs="Calibri" w:eastAsia="Calibri" w:hAnsi="Calibri"/>
          <w:color w:val="0A0A0B"/>
          <w:sz w:val="22"/>
          <w:szCs w:val="22"/>
        </w:rPr>
        <w:t xml:space="preserve">Le formulaire de création est soumis avec le </w:t>
      </w:r>
      <w:r>
        <w:rPr>
          <w:rFonts w:ascii="Consolas" w:cs="Consolas" w:eastAsia="Consolas" w:hAnsi="Consolas"/>
          <w:color w:val="0A0A0B"/>
          <w:sz w:val="20"/>
          <w:szCs w:val="20"/>
        </w:rPr>
        <w:t xml:space="preserve">verificationToken</w:t>
      </w:r>
      <w:r>
        <w:rPr>
          <w:rFonts w:ascii="Calibri" w:cs="Calibri" w:eastAsia="Calibri" w:hAnsi="Calibri"/>
          <w:color w:val="0A0A0B"/>
          <w:sz w:val="22"/>
          <w:szCs w:val="22"/>
        </w:rPr>
        <w:t xml:space="preserve"> préalablement obtenu. Le </w:t>
      </w:r>
      <w:r>
        <w:rPr>
          <w:rFonts w:ascii="Consolas" w:cs="Consolas" w:eastAsia="Consolas" w:hAnsi="Consolas"/>
          <w:color w:val="0A0A0B"/>
          <w:sz w:val="20"/>
          <w:szCs w:val="20"/>
        </w:rPr>
        <w:t xml:space="preserve">UserRegistrationService</w:t>
      </w:r>
      <w:r>
        <w:rPr>
          <w:rFonts w:ascii="Calibri" w:cs="Calibri" w:eastAsia="Calibri" w:hAnsi="Calibri"/>
          <w:color w:val="0A0A0B"/>
          <w:sz w:val="22"/>
          <w:szCs w:val="22"/>
        </w:rPr>
        <w:t xml:space="preserve"> valide le jeton (non expiré, non consommé), vérifie l'unicité de l'e-mail, hash le mot de passe avec BCrypt, persiste l'utilisateur (avec </w:t>
      </w:r>
      <w:r>
        <w:rPr>
          <w:rFonts w:ascii="Consolas" w:cs="Consolas" w:eastAsia="Consolas" w:hAnsi="Consolas"/>
          <w:color w:val="0A0A0B"/>
          <w:sz w:val="20"/>
          <w:szCs w:val="20"/>
        </w:rPr>
        <w:t xml:space="preserve">emailVerified=false</w:t>
      </w:r>
      <w:r>
        <w:rPr>
          <w:rFonts w:ascii="Calibri" w:cs="Calibri" w:eastAsia="Calibri" w:hAnsi="Calibri"/>
          <w:color w:val="0A0A0B"/>
          <w:sz w:val="22"/>
          <w:szCs w:val="22"/>
        </w:rPr>
        <w:t xml:space="preserve">), puis demande à </w:t>
      </w:r>
      <w:r>
        <w:rPr>
          <w:rFonts w:ascii="Consolas" w:cs="Consolas" w:eastAsia="Consolas" w:hAnsi="Consolas"/>
          <w:color w:val="0A0A0B"/>
          <w:sz w:val="20"/>
          <w:szCs w:val="20"/>
        </w:rPr>
        <w:t xml:space="preserve">EmailVerificationService</w:t>
      </w:r>
      <w:r>
        <w:rPr>
          <w:rFonts w:ascii="Calibri" w:cs="Calibri" w:eastAsia="Calibri" w:hAnsi="Calibri"/>
          <w:color w:val="0A0A0B"/>
          <w:sz w:val="22"/>
          <w:szCs w:val="22"/>
        </w:rPr>
        <w:t xml:space="preserve"> de générer un jeton de confirmation et de l'envoyer par SMTP. La réponse 201 contient l'identifiant utilisateur.</w:t>
      </w:r>
    </w:p>
    <w:p>
      <w:pPr>
        <w:pStyle w:val="Heading2"/>
        <w:spacing w:after="120" w:before="240"/>
      </w:pPr>
      <w:r>
        <w:rPr>
          <w:rFonts w:ascii="Calibri" w:cs="Calibri" w:eastAsia="Calibri" w:hAnsi="Calibri"/>
          <w:b/>
          <w:bCs/>
          <w:color w:val="0A0A0B"/>
          <w:sz w:val="26"/>
          <w:szCs w:val="26"/>
        </w:rPr>
        <w:t xml:space="preserve">5.3 Phase 3 — Confirmation de l'e-mail</w:t>
      </w:r>
    </w:p>
    <w:p>
      <w:pPr>
        <w:spacing w:after="120" w:before="0" w:line="320"/>
        <w:jc w:val="both"/>
      </w:pPr>
      <w:r>
        <w:rPr>
          <w:rFonts w:ascii="Calibri" w:cs="Calibri" w:eastAsia="Calibri" w:hAnsi="Calibri"/>
          <w:color w:val="0A0A0B"/>
          <w:sz w:val="22"/>
          <w:szCs w:val="22"/>
        </w:rPr>
        <w:t xml:space="preserve">Le propriétaire clique sur le lien reçu. Le </w:t>
      </w:r>
      <w:r>
        <w:rPr>
          <w:rFonts w:ascii="Consolas" w:cs="Consolas" w:eastAsia="Consolas" w:hAnsi="Consolas"/>
          <w:color w:val="0A0A0B"/>
          <w:sz w:val="20"/>
          <w:szCs w:val="20"/>
        </w:rPr>
        <w:t xml:space="preserve">GET /api/auth/verify-email?token=…</w:t>
      </w:r>
      <w:r>
        <w:rPr>
          <w:rFonts w:ascii="Calibri" w:cs="Calibri" w:eastAsia="Calibri" w:hAnsi="Calibri"/>
          <w:color w:val="0A0A0B"/>
          <w:sz w:val="22"/>
          <w:szCs w:val="22"/>
        </w:rPr>
        <w:t xml:space="preserve"> déclenche la consommation du jeton (</w:t>
      </w:r>
      <w:r>
        <w:rPr>
          <w:rFonts w:ascii="Consolas" w:cs="Consolas" w:eastAsia="Consolas" w:hAnsi="Consolas"/>
          <w:color w:val="0A0A0B"/>
          <w:sz w:val="20"/>
          <w:szCs w:val="20"/>
        </w:rPr>
        <w:t xml:space="preserve">consume()</w:t>
      </w:r>
      <w:r>
        <w:rPr>
          <w:rFonts w:ascii="Calibri" w:cs="Calibri" w:eastAsia="Calibri" w:hAnsi="Calibri"/>
          <w:color w:val="0A0A0B"/>
          <w:sz w:val="22"/>
          <w:szCs w:val="22"/>
        </w:rPr>
        <w:t xml:space="preserve">) et la mise à jour de la propriété </w:t>
      </w:r>
      <w:r>
        <w:rPr>
          <w:rFonts w:ascii="Consolas" w:cs="Consolas" w:eastAsia="Consolas" w:hAnsi="Consolas"/>
          <w:color w:val="0A0A0B"/>
          <w:sz w:val="20"/>
          <w:szCs w:val="20"/>
        </w:rPr>
        <w:t xml:space="preserve">emailVerified</w:t>
      </w:r>
      <w:r>
        <w:rPr>
          <w:rFonts w:ascii="Calibri" w:cs="Calibri" w:eastAsia="Calibri" w:hAnsi="Calibri"/>
          <w:color w:val="0A0A0B"/>
          <w:sz w:val="22"/>
          <w:szCs w:val="22"/>
        </w:rPr>
        <w:t xml:space="preserve"> sur l'agrégat User. Sans cette étape, la connexion sera refusée.</w:t>
      </w:r>
    </w:p>
    <w:p>
      <w:pPr>
        <w:pStyle w:val="Heading2"/>
        <w:spacing w:after="120" w:before="240"/>
      </w:pPr>
      <w:r>
        <w:rPr>
          <w:rFonts w:ascii="Calibri" w:cs="Calibri" w:eastAsia="Calibri" w:hAnsi="Calibri"/>
          <w:b/>
          <w:bCs/>
          <w:color w:val="0A0A0B"/>
          <w:sz w:val="26"/>
          <w:szCs w:val="26"/>
        </w:rPr>
        <w:t xml:space="preserve">5.4 Phase 4 — Connexion et challenge OTP</w:t>
      </w:r>
    </w:p>
    <w:p>
      <w:pPr>
        <w:spacing w:after="120" w:before="0" w:line="320"/>
        <w:jc w:val="both"/>
      </w:pPr>
      <w:r>
        <w:rPr>
          <w:rFonts w:ascii="Calibri" w:cs="Calibri" w:eastAsia="Calibri" w:hAnsi="Calibri"/>
          <w:color w:val="0A0A0B"/>
          <w:sz w:val="22"/>
          <w:szCs w:val="22"/>
        </w:rPr>
        <w:t xml:space="preserve">Le </w:t>
      </w:r>
      <w:r>
        <w:rPr>
          <w:rFonts w:ascii="Consolas" w:cs="Consolas" w:eastAsia="Consolas" w:hAnsi="Consolas"/>
          <w:color w:val="0A0A0B"/>
          <w:sz w:val="20"/>
          <w:szCs w:val="20"/>
        </w:rPr>
        <w:t xml:space="preserve">AuthController</w:t>
      </w:r>
      <w:r>
        <w:rPr>
          <w:rFonts w:ascii="Calibri" w:cs="Calibri" w:eastAsia="Calibri" w:hAnsi="Calibri"/>
          <w:color w:val="0A0A0B"/>
          <w:sz w:val="22"/>
          <w:szCs w:val="22"/>
        </w:rPr>
        <w:t xml:space="preserve"> applique un rate-limit dédié à la clé </w:t>
      </w:r>
      <w:r>
        <w:rPr>
          <w:rFonts w:ascii="Consolas" w:cs="Consolas" w:eastAsia="Consolas" w:hAnsi="Consolas"/>
          <w:color w:val="0A0A0B"/>
          <w:sz w:val="20"/>
          <w:szCs w:val="20"/>
        </w:rPr>
        <w:t xml:space="preserve">login:&lt;ip&gt;</w:t>
      </w:r>
      <w:r>
        <w:rPr>
          <w:rFonts w:ascii="Calibri" w:cs="Calibri" w:eastAsia="Calibri" w:hAnsi="Calibri"/>
          <w:color w:val="0A0A0B"/>
          <w:sz w:val="22"/>
          <w:szCs w:val="22"/>
        </w:rPr>
        <w:t xml:space="preserve"> avant de déléguer à </w:t>
      </w:r>
      <w:r>
        <w:rPr>
          <w:rFonts w:ascii="Consolas" w:cs="Consolas" w:eastAsia="Consolas" w:hAnsi="Consolas"/>
          <w:color w:val="0A0A0B"/>
          <w:sz w:val="20"/>
          <w:szCs w:val="20"/>
        </w:rPr>
        <w:t xml:space="preserve">AuthService.login()</w:t>
      </w:r>
      <w:r>
        <w:rPr>
          <w:rFonts w:ascii="Calibri" w:cs="Calibri" w:eastAsia="Calibri" w:hAnsi="Calibri"/>
          <w:color w:val="0A0A0B"/>
          <w:sz w:val="22"/>
          <w:szCs w:val="22"/>
        </w:rPr>
        <w:t xml:space="preserve">. Après vérification BCrypt du mot de passe, deux branches s'ouvrent : succès → </w:t>
      </w:r>
      <w:r>
        <w:rPr>
          <w:rFonts w:ascii="Consolas" w:cs="Consolas" w:eastAsia="Consolas" w:hAnsi="Consolas"/>
          <w:color w:val="0A0A0B"/>
          <w:sz w:val="20"/>
          <w:szCs w:val="20"/>
        </w:rPr>
        <w:t xml:space="preserve">OtpService.issue()</w:t>
      </w:r>
      <w:r>
        <w:rPr>
          <w:rFonts w:ascii="Calibri" w:cs="Calibri" w:eastAsia="Calibri" w:hAnsi="Calibri"/>
          <w:color w:val="0A0A0B"/>
          <w:sz w:val="22"/>
          <w:szCs w:val="22"/>
        </w:rPr>
        <w:t xml:space="preserve"> génère un code à 6 chiffres, hashe sa valeur, persiste une entrée </w:t>
      </w:r>
      <w:r>
        <w:rPr>
          <w:rFonts w:ascii="Consolas" w:cs="Consolas" w:eastAsia="Consolas" w:hAnsi="Consolas"/>
          <w:color w:val="0A0A0B"/>
          <w:sz w:val="20"/>
          <w:szCs w:val="20"/>
        </w:rPr>
        <w:t xml:space="preserve">OtpCode</w:t>
      </w:r>
      <w:r>
        <w:rPr>
          <w:rFonts w:ascii="Calibri" w:cs="Calibri" w:eastAsia="Calibri" w:hAnsi="Calibri"/>
          <w:color w:val="0A0A0B"/>
          <w:sz w:val="22"/>
          <w:szCs w:val="22"/>
        </w:rPr>
        <w:t xml:space="preserve"> avec TTL, et l'envoie par SMS via Twilio. Le serveur répond 202 avec un flag </w:t>
      </w:r>
      <w:r>
        <w:rPr>
          <w:rFonts w:ascii="Consolas" w:cs="Consolas" w:eastAsia="Consolas" w:hAnsi="Consolas"/>
          <w:color w:val="0A0A0B"/>
          <w:sz w:val="20"/>
          <w:szCs w:val="20"/>
        </w:rPr>
        <w:t xml:space="preserve">otpRequired=true</w:t>
      </w:r>
      <w:r>
        <w:rPr>
          <w:rFonts w:ascii="Calibri" w:cs="Calibri" w:eastAsia="Calibri" w:hAnsi="Calibri"/>
          <w:color w:val="0A0A0B"/>
          <w:sz w:val="22"/>
          <w:szCs w:val="22"/>
        </w:rPr>
        <w:t xml:space="preserve">. Échec → </w:t>
      </w:r>
      <w:r>
        <w:rPr>
          <w:rFonts w:ascii="Consolas" w:cs="Consolas" w:eastAsia="Consolas" w:hAnsi="Consolas"/>
          <w:color w:val="0A0A0B"/>
          <w:sz w:val="20"/>
          <w:szCs w:val="20"/>
        </w:rPr>
        <w:t xml:space="preserve">LockService</w:t>
      </w:r>
      <w:r>
        <w:rPr>
          <w:rFonts w:ascii="Calibri" w:cs="Calibri" w:eastAsia="Calibri" w:hAnsi="Calibri"/>
          <w:color w:val="0A0A0B"/>
          <w:sz w:val="22"/>
          <w:szCs w:val="22"/>
        </w:rPr>
        <w:t xml:space="preserve"> incrémente le compteur de tentatives ; au-delà du seuil le compte est verrouillé.</w:t>
      </w:r>
    </w:p>
    <w:p>
      <w:pPr>
        <w:pStyle w:val="Heading2"/>
        <w:spacing w:after="120" w:before="240"/>
      </w:pPr>
      <w:r>
        <w:rPr>
          <w:rFonts w:ascii="Calibri" w:cs="Calibri" w:eastAsia="Calibri" w:hAnsi="Calibri"/>
          <w:b/>
          <w:bCs/>
          <w:color w:val="0A0A0B"/>
          <w:sz w:val="26"/>
          <w:szCs w:val="26"/>
        </w:rPr>
        <w:t xml:space="preserve">5.5 Phase 5 — Vérification OTP &amp; émission des JWT</w:t>
      </w:r>
    </w:p>
    <w:p>
      <w:pPr>
        <w:spacing w:after="120" w:before="0" w:line="320"/>
        <w:jc w:val="both"/>
      </w:pPr>
      <w:r>
        <w:rPr>
          <w:rFonts w:ascii="Calibri" w:cs="Calibri" w:eastAsia="Calibri" w:hAnsi="Calibri"/>
          <w:color w:val="0A0A0B"/>
          <w:sz w:val="22"/>
          <w:szCs w:val="22"/>
        </w:rPr>
        <w:t xml:space="preserve">Le propriétaire saisit le code reçu. </w:t>
      </w:r>
      <w:r>
        <w:rPr>
          <w:rFonts w:ascii="Consolas" w:cs="Consolas" w:eastAsia="Consolas" w:hAnsi="Consolas"/>
          <w:color w:val="0A0A0B"/>
          <w:sz w:val="20"/>
          <w:szCs w:val="20"/>
        </w:rPr>
        <w:t xml:space="preserve">OtpService.verify()</w:t>
      </w:r>
      <w:r>
        <w:rPr>
          <w:rFonts w:ascii="Calibri" w:cs="Calibri" w:eastAsia="Calibri" w:hAnsi="Calibri"/>
          <w:color w:val="0A0A0B"/>
          <w:sz w:val="22"/>
          <w:szCs w:val="22"/>
        </w:rPr>
        <w:t xml:space="preserve"> compare le hash, consomme le code si correct, puis </w:t>
      </w:r>
      <w:r>
        <w:rPr>
          <w:rFonts w:ascii="Consolas" w:cs="Consolas" w:eastAsia="Consolas" w:hAnsi="Consolas"/>
          <w:color w:val="0A0A0B"/>
          <w:sz w:val="20"/>
          <w:szCs w:val="20"/>
        </w:rPr>
        <w:t xml:space="preserve">AuthService.issueTokens()</w:t>
      </w:r>
      <w:r>
        <w:rPr>
          <w:rFonts w:ascii="Calibri" w:cs="Calibri" w:eastAsia="Calibri" w:hAnsi="Calibri"/>
          <w:color w:val="0A0A0B"/>
          <w:sz w:val="22"/>
          <w:szCs w:val="22"/>
        </w:rPr>
        <w:t xml:space="preserve"> construit un access JWT (claims : </w:t>
      </w:r>
      <w:r>
        <w:rPr>
          <w:rFonts w:ascii="Consolas" w:cs="Consolas" w:eastAsia="Consolas" w:hAnsi="Consolas"/>
          <w:color w:val="0A0A0B"/>
          <w:sz w:val="20"/>
          <w:szCs w:val="20"/>
        </w:rPr>
        <w:t xml:space="preserve">userId</w:t>
      </w:r>
      <w:r>
        <w:rPr>
          <w:rFonts w:ascii="Calibri" w:cs="Calibri" w:eastAsia="Calibri" w:hAnsi="Calibri"/>
          <w:color w:val="0A0A0B"/>
          <w:sz w:val="22"/>
          <w:szCs w:val="22"/>
        </w:rPr>
        <w:t xml:space="preserve">, </w:t>
      </w:r>
      <w:r>
        <w:rPr>
          <w:rFonts w:ascii="Consolas" w:cs="Consolas" w:eastAsia="Consolas" w:hAnsi="Consolas"/>
          <w:color w:val="0A0A0B"/>
          <w:sz w:val="20"/>
          <w:szCs w:val="20"/>
        </w:rPr>
        <w:t xml:space="preserve">role</w:t>
      </w:r>
      <w:r>
        <w:rPr>
          <w:rFonts w:ascii="Calibri" w:cs="Calibri" w:eastAsia="Calibri" w:hAnsi="Calibri"/>
          <w:color w:val="0A0A0B"/>
          <w:sz w:val="22"/>
          <w:szCs w:val="22"/>
        </w:rPr>
        <w:t xml:space="preserve">) et un refresh JWT. Le refresh est persistée sous la forme SHA-256 en base. La réponse 200 embarque le couple de jetons — l'UI les stocke en mémoire (HttpOnly cookie côté prod) et redirige vers </w:t>
      </w:r>
      <w:r>
        <w:rPr>
          <w:rFonts w:ascii="Consolas" w:cs="Consolas" w:eastAsia="Consolas" w:hAnsi="Consolas"/>
          <w:color w:val="0A0A0B"/>
          <w:sz w:val="20"/>
          <w:szCs w:val="20"/>
        </w:rPr>
        <w:t xml:space="preserve">/app</w:t>
      </w:r>
      <w:r>
        <w:rPr>
          <w:rFonts w:ascii="Calibri" w:cs="Calibri" w:eastAsia="Calibri" w:hAnsi="Calibri"/>
          <w:color w:val="0A0A0B"/>
          <w:sz w:val="22"/>
          <w:szCs w:val="22"/>
        </w:rPr>
        <w:t xml:space="preserve">.</w:t>
      </w:r>
    </w:p>
    <w:p>
      <w:pPr>
        <w:pStyle w:val="Heading2"/>
        <w:spacing w:after="120" w:before="240"/>
      </w:pPr>
      <w:r>
        <w:rPr>
          <w:rFonts w:ascii="Calibri" w:cs="Calibri" w:eastAsia="Calibri" w:hAnsi="Calibri"/>
          <w:b/>
          <w:bCs/>
          <w:color w:val="0A0A0B"/>
          <w:sz w:val="26"/>
          <w:szCs w:val="26"/>
        </w:rPr>
        <w:t xml:space="preserve">5.6 Phase 6 — Accès aux ressources protégées</w:t>
      </w:r>
    </w:p>
    <w:p>
      <w:pPr>
        <w:spacing w:after="120" w:before="0" w:line="320"/>
        <w:jc w:val="both"/>
      </w:pPr>
      <w:r>
        <w:rPr>
          <w:rFonts w:ascii="Calibri" w:cs="Calibri" w:eastAsia="Calibri" w:hAnsi="Calibri"/>
          <w:color w:val="0A0A0B"/>
          <w:sz w:val="22"/>
          <w:szCs w:val="22"/>
        </w:rPr>
        <w:t xml:space="preserve">Pour afficher la carte des bornes, le front-end appelle </w:t>
      </w:r>
      <w:r>
        <w:rPr>
          <w:rFonts w:ascii="Consolas" w:cs="Consolas" w:eastAsia="Consolas" w:hAnsi="Consolas"/>
          <w:color w:val="0A0A0B"/>
          <w:sz w:val="20"/>
          <w:szCs w:val="20"/>
        </w:rPr>
        <w:t xml:space="preserve">GET /api/stations/nearby</w:t>
      </w:r>
      <w:r>
        <w:rPr>
          <w:rFonts w:ascii="Calibri" w:cs="Calibri" w:eastAsia="Calibri" w:hAnsi="Calibri"/>
          <w:color w:val="0A0A0B"/>
          <w:sz w:val="22"/>
          <w:szCs w:val="22"/>
        </w:rPr>
        <w:t xml:space="preserve"> avec l'access token en en-tête Authorization. Le </w:t>
      </w:r>
      <w:r>
        <w:rPr>
          <w:rFonts w:ascii="Consolas" w:cs="Consolas" w:eastAsia="Consolas" w:hAnsi="Consolas"/>
          <w:color w:val="0A0A0B"/>
          <w:sz w:val="20"/>
          <w:szCs w:val="20"/>
        </w:rPr>
        <w:t xml:space="preserve">StationController</w:t>
      </w:r>
      <w:r>
        <w:rPr>
          <w:rFonts w:ascii="Calibri" w:cs="Calibri" w:eastAsia="Calibri" w:hAnsi="Calibri"/>
          <w:color w:val="0A0A0B"/>
          <w:sz w:val="22"/>
          <w:szCs w:val="22"/>
        </w:rPr>
        <w:t xml:space="preserve"> délègue la validation du token à </w:t>
      </w:r>
      <w:r>
        <w:rPr>
          <w:rFonts w:ascii="Consolas" w:cs="Consolas" w:eastAsia="Consolas" w:hAnsi="Consolas"/>
          <w:color w:val="0A0A0B"/>
          <w:sz w:val="20"/>
          <w:szCs w:val="20"/>
        </w:rPr>
        <w:t xml:space="preserve">JwtService.parse()</w:t>
      </w:r>
      <w:r>
        <w:rPr>
          <w:rFonts w:ascii="Calibri" w:cs="Calibri" w:eastAsia="Calibri" w:hAnsi="Calibri"/>
          <w:color w:val="0A0A0B"/>
          <w:sz w:val="22"/>
          <w:szCs w:val="22"/>
        </w:rPr>
        <w:t xml:space="preserve"> qui vérifie la signature et l'expiration, puis </w:t>
      </w:r>
      <w:r>
        <w:rPr>
          <w:rFonts w:ascii="Consolas" w:cs="Consolas" w:eastAsia="Consolas" w:hAnsi="Consolas"/>
          <w:color w:val="0A0A0B"/>
          <w:sz w:val="20"/>
          <w:szCs w:val="20"/>
        </w:rPr>
        <w:t xml:space="preserve">StationRepository.findNearby()</w:t>
      </w:r>
      <w:r>
        <w:rPr>
          <w:rFonts w:ascii="Calibri" w:cs="Calibri" w:eastAsia="Calibri" w:hAnsi="Calibri"/>
          <w:color w:val="0A0A0B"/>
          <w:sz w:val="22"/>
          <w:szCs w:val="22"/>
        </w:rPr>
        <w:t xml:space="preserve"> exécute la requête géospatiale (projection haversine) filtrée par la compatibilité de connecteur avec le modèle Tesla.</w:t>
      </w:r>
    </w:p>
    <w:p>
      <w:pPr>
        <w:pStyle w:val="Heading2"/>
        <w:spacing w:after="120" w:before="240"/>
      </w:pPr>
      <w:r>
        <w:rPr>
          <w:rFonts w:ascii="Calibri" w:cs="Calibri" w:eastAsia="Calibri" w:hAnsi="Calibri"/>
          <w:b/>
          <w:bCs/>
          <w:color w:val="0A0A0B"/>
          <w:sz w:val="26"/>
          <w:szCs w:val="26"/>
        </w:rPr>
        <w:t xml:space="preserve">5.7 Phase 7 — Rotation du refresh token</w:t>
      </w:r>
    </w:p>
    <w:p>
      <w:pPr>
        <w:spacing w:after="120" w:before="0" w:line="320"/>
        <w:jc w:val="both"/>
      </w:pPr>
      <w:r>
        <w:rPr>
          <w:rFonts w:ascii="Calibri" w:cs="Calibri" w:eastAsia="Calibri" w:hAnsi="Calibri"/>
          <w:color w:val="0A0A0B"/>
          <w:sz w:val="22"/>
          <w:szCs w:val="22"/>
        </w:rPr>
        <w:t xml:space="preserve">Lorsque l'access JWT expire, le client appelle </w:t>
      </w:r>
      <w:r>
        <w:rPr>
          <w:rFonts w:ascii="Consolas" w:cs="Consolas" w:eastAsia="Consolas" w:hAnsi="Consolas"/>
          <w:color w:val="0A0A0B"/>
          <w:sz w:val="20"/>
          <w:szCs w:val="20"/>
        </w:rPr>
        <w:t xml:space="preserve">POST /api/auth/refresh</w:t>
      </w:r>
      <w:r>
        <w:rPr>
          <w:rFonts w:ascii="Calibri" w:cs="Calibri" w:eastAsia="Calibri" w:hAnsi="Calibri"/>
          <w:color w:val="0A0A0B"/>
          <w:sz w:val="22"/>
          <w:szCs w:val="22"/>
        </w:rPr>
        <w:t xml:space="preserve"> avec le refresh. </w:t>
      </w:r>
      <w:r>
        <w:rPr>
          <w:rFonts w:ascii="Consolas" w:cs="Consolas" w:eastAsia="Consolas" w:hAnsi="Consolas"/>
          <w:color w:val="0A0A0B"/>
          <w:sz w:val="20"/>
          <w:szCs w:val="20"/>
        </w:rPr>
        <w:t xml:space="preserve">AuthService.refresh()</w:t>
      </w:r>
      <w:r>
        <w:rPr>
          <w:rFonts w:ascii="Calibri" w:cs="Calibri" w:eastAsia="Calibri" w:hAnsi="Calibri"/>
          <w:color w:val="0A0A0B"/>
          <w:sz w:val="22"/>
          <w:szCs w:val="22"/>
        </w:rPr>
        <w:t xml:space="preserve"> retrouve l'entrée par hash, vérifie qu'elle n'est ni révoquée ni expirée, la révoque (</w:t>
      </w:r>
      <w:r>
        <w:rPr>
          <w:rFonts w:ascii="Consolas" w:cs="Consolas" w:eastAsia="Consolas" w:hAnsi="Consolas"/>
          <w:color w:val="0A0A0B"/>
          <w:sz w:val="20"/>
          <w:szCs w:val="20"/>
        </w:rPr>
        <w:t xml:space="preserve">revoke()</w:t>
      </w:r>
      <w:r>
        <w:rPr>
          <w:rFonts w:ascii="Calibri" w:cs="Calibri" w:eastAsia="Calibri" w:hAnsi="Calibri"/>
          <w:color w:val="0A0A0B"/>
          <w:sz w:val="22"/>
          <w:szCs w:val="22"/>
        </w:rPr>
        <w:t xml:space="preserve">), signe un nouveau couple, persiste le nouveau hash et renvoie la paire. Cette rotation systématique ferme la fenêtre de réutilisation en cas de vol de jeton.</w:t>
      </w:r>
    </w:p>
    <w:p>
      <w:r>
        <w:br w:type="page"/>
      </w:r>
    </w:p>
    <w:p>
      <w:pPr>
        <w:pStyle w:val="Heading1"/>
        <w:spacing w:after="120" w:before="240"/>
      </w:pPr>
      <w:r>
        <w:rPr>
          <w:rFonts w:ascii="Calibri" w:cs="Calibri" w:eastAsia="Calibri" w:hAnsi="Calibri"/>
          <w:b/>
          <w:bCs/>
          <w:color w:val="0A0A0B"/>
          <w:sz w:val="26"/>
          <w:szCs w:val="26"/>
        </w:rPr>
        <w:t xml:space="preserve">6. Synthèse et traçabilité</w:t>
      </w:r>
    </w:p>
    <w:p>
      <w:pPr>
        <w:spacing w:after="120" w:before="0" w:line="320"/>
        <w:jc w:val="both"/>
      </w:pPr>
      <w:r>
        <w:rPr>
          <w:rFonts w:ascii="Calibri" w:cs="Calibri" w:eastAsia="Calibri" w:hAnsi="Calibri"/>
          <w:color w:val="0A0A0B"/>
          <w:sz w:val="22"/>
          <w:szCs w:val="22"/>
        </w:rPr>
        <w:t xml:space="preserve">Les trois diagrammes présentent trois projections complémentaires du même système. Pour assurer la traçabilité, la matrice ci-dessous associe à chaque cas d'utilisation le service applicatif et les entités impliqués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Cas d'utilisation (Fig. 1)</w:t>
            </w:r>
          </w:p>
        </w:tc>
        <w:tc>
          <w:tcPr>
            <w:tcW w:type="dxa" w:w="30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Service (Fig. 2)</w:t>
            </w:r>
          </w:p>
        </w:tc>
        <w:tc>
          <w:tcPr>
            <w:tcW w:type="dxa" w:w="3000"/>
            <w:tcBorders>
              <w:top w:val="single" w:color="C9C3B5" w:sz="4"/>
              <w:left w:val="single" w:color="C9C3B5" w:sz="4"/>
              <w:bottom w:val="single" w:color="C9C3B5" w:sz="4"/>
              <w:right w:val="single" w:color="C9C3B5" w:sz="4"/>
            </w:tcBorders>
            <w:shd w:fill="EDE9E0" w:val="clear"/>
            <w:tcMar>
              <w:top w:type="dxa" w:w="100"/>
              <w:left w:type="dxa" w:w="140"/>
              <w:bottom w:type="dxa" w:w="100"/>
              <w:right w:type="dxa" w:w="140"/>
            </w:tcMar>
          </w:tcPr>
          <w:p>
            <w:r>
              <w:rPr>
                <w:rFonts w:ascii="Calibri" w:cs="Calibri" w:eastAsia="Calibri" w:hAnsi="Calibri"/>
                <w:b/>
                <w:bCs/>
                <w:color w:val="0A0A0B"/>
                <w:sz w:val="20"/>
                <w:szCs w:val="20"/>
              </w:rPr>
              <w:t xml:space="preserve">Entités principales</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Vérifier véhicule local</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VehicleVerificationService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ErpTeslaLocal, VerificationToken</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Vérifier véhicule étranger</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VehicleVerificationService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ErpTeslaForeign, VerificationToken</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Arbitrer dossier étranger</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VehicleVerificationService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ErpTeslaForeign</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Créer un compte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UserRegistrationService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User, VerificationToken, EmailVerificationToken</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Confirmer l'adresse e-mail</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EmailVerificationService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User, EmailVerificationToken</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Se connecter</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AuthService + OtpService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User, OtpCode</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Vérifier OTP</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OtpService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OtpCode, User</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Rafraîchir la session</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AuthService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RefreshToken, User</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Consulter les bornes</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StationService (implicite)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Station, ChargingPort</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Verrouiller le compte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LockService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User</w:t>
            </w:r>
          </w:p>
        </w:tc>
      </w:tr>
      <w:tr>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Limiter le débit</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RateLimiterService</w:t>
            </w:r>
          </w:p>
        </w:tc>
        <w:tc>
          <w:tcPr>
            <w:tcW w:type="dxa" w:w="3000"/>
            <w:tcBorders>
              <w:top w:val="single" w:color="C9C3B5" w:sz="4"/>
              <w:left w:val="single" w:color="C9C3B5" w:sz="4"/>
              <w:bottom w:val="single" w:color="C9C3B5" w:sz="4"/>
              <w:right w:val="single" w:color="C9C3B5" w:sz="4"/>
            </w:tcBorders>
            <w:tcMar>
              <w:top w:type="dxa" w:w="80"/>
              <w:left w:type="dxa" w:w="140"/>
              <w:bottom w:type="dxa" w:w="80"/>
              <w:right w:type="dxa" w:w="140"/>
            </w:tcMar>
          </w:tcPr>
          <w:p>
            <w:r>
              <w:rPr>
                <w:rFonts w:ascii="Calibri" w:cs="Calibri" w:eastAsia="Calibri" w:hAnsi="Calibri"/>
                <w:color w:val="0A0A0B"/>
                <w:sz w:val="20"/>
                <w:szCs w:val="20"/>
              </w:rPr>
              <w:t xml:space="preserve">RateLimitBucket</w:t>
            </w:r>
          </w:p>
        </w:tc>
      </w:tr>
    </w:tbl>
    <w:p>
      <w:pPr>
        <w:pStyle w:val="Heading2"/>
        <w:spacing w:after="120" w:before="240"/>
      </w:pPr>
      <w:r>
        <w:rPr>
          <w:rFonts w:ascii="Calibri" w:cs="Calibri" w:eastAsia="Calibri" w:hAnsi="Calibri"/>
          <w:b/>
          <w:bCs/>
          <w:color w:val="0A0A0B"/>
          <w:sz w:val="26"/>
          <w:szCs w:val="26"/>
        </w:rPr>
        <w:t xml:space="preserve">6.1 Points de vigilance pour l'implémentation</w:t>
      </w:r>
    </w:p>
    <w:p>
      <w:pPr>
        <w:pStyle w:val="ListParagraph"/>
        <w:numPr>
          <w:ilvl w:val="0"/>
          <w:numId w:val="2"/>
        </w:numPr>
        <w:spacing w:after="60" w:line="300"/>
      </w:pPr>
      <w:r>
        <w:rPr>
          <w:rFonts w:ascii="Calibri" w:cs="Calibri" w:eastAsia="Calibri" w:hAnsi="Calibri"/>
          <w:color w:val="0A0A0B"/>
          <w:sz w:val="22"/>
          <w:szCs w:val="22"/>
        </w:rPr>
        <w:t xml:space="preserve">La fenêtre de réutilisation du refresh token doit être strictement nulle : toute tentative de réutilisation d'un token révoqué doit immédiatement invalider la chaîne entière (famille de refresh).</w:t>
      </w:r>
    </w:p>
    <w:p>
      <w:pPr>
        <w:pStyle w:val="ListParagraph"/>
        <w:numPr>
          <w:ilvl w:val="0"/>
          <w:numId w:val="2"/>
        </w:numPr>
        <w:spacing w:after="60" w:line="300"/>
      </w:pPr>
      <w:r>
        <w:rPr>
          <w:rFonts w:ascii="Calibri" w:cs="Calibri" w:eastAsia="Calibri" w:hAnsi="Calibri"/>
          <w:color w:val="0A0A0B"/>
          <w:sz w:val="22"/>
          <w:szCs w:val="22"/>
        </w:rPr>
        <w:t xml:space="preserve">Les tokens de vérification de véhicule doivent être de courte durée (15 minutes recommandées) pour éviter la création de comptes à partir de vérifications périmées.</w:t>
      </w:r>
    </w:p>
    <w:p>
      <w:pPr>
        <w:pStyle w:val="ListParagraph"/>
        <w:numPr>
          <w:ilvl w:val="0"/>
          <w:numId w:val="2"/>
        </w:numPr>
        <w:spacing w:after="60" w:line="300"/>
      </w:pPr>
      <w:r>
        <w:rPr>
          <w:rFonts w:ascii="Calibri" w:cs="Calibri" w:eastAsia="Calibri" w:hAnsi="Calibri"/>
          <w:color w:val="0A0A0B"/>
          <w:sz w:val="22"/>
          <w:szCs w:val="22"/>
        </w:rPr>
        <w:t xml:space="preserve">Le rate-limit doit discriminer par clé composite (IP + e-mail ou userId) pour contrer à la fois le credential stuffing et les attaques ciblées.</w:t>
      </w:r>
    </w:p>
    <w:p>
      <w:pPr>
        <w:pStyle w:val="ListParagraph"/>
        <w:numPr>
          <w:ilvl w:val="0"/>
          <w:numId w:val="2"/>
        </w:numPr>
        <w:spacing w:after="60" w:line="300"/>
      </w:pPr>
      <w:r>
        <w:rPr>
          <w:rFonts w:ascii="Calibri" w:cs="Calibri" w:eastAsia="Calibri" w:hAnsi="Calibri"/>
          <w:color w:val="0A0A0B"/>
          <w:sz w:val="22"/>
          <w:szCs w:val="22"/>
        </w:rPr>
        <w:t xml:space="preserve">L'AuditEvent doit être append-only et chiffré au repos ; il constitue la principale preuve en cas d'incident.</w:t>
      </w:r>
    </w:p>
    <w:p>
      <w:pPr>
        <w:pStyle w:val="Heading2"/>
        <w:spacing w:after="120" w:before="240"/>
      </w:pPr>
      <w:r>
        <w:rPr>
          <w:rFonts w:ascii="Calibri" w:cs="Calibri" w:eastAsia="Calibri" w:hAnsi="Calibri"/>
          <w:b/>
          <w:bCs/>
          <w:color w:val="0A0A0B"/>
          <w:sz w:val="26"/>
          <w:szCs w:val="26"/>
        </w:rPr>
        <w:t xml:space="preserve">6.2 Évolutions anticipées</w:t>
      </w:r>
    </w:p>
    <w:p>
      <w:pPr>
        <w:pStyle w:val="ListParagraph"/>
        <w:numPr>
          <w:ilvl w:val="0"/>
          <w:numId w:val="2"/>
        </w:numPr>
        <w:spacing w:after="60" w:line="300"/>
      </w:pPr>
      <w:r>
        <w:rPr>
          <w:rFonts w:ascii="Calibri" w:cs="Calibri" w:eastAsia="Calibri" w:hAnsi="Calibri"/>
          <w:color w:val="0A0A0B"/>
          <w:sz w:val="22"/>
          <w:szCs w:val="22"/>
        </w:rPr>
        <w:t xml:space="preserve">Ajout d'un acteur « Opérateur de borne » pour gérer la réservation de créneaux (enrichissement du paquet Réseau de bornes).</w:t>
      </w:r>
    </w:p>
    <w:p>
      <w:pPr>
        <w:pStyle w:val="ListParagraph"/>
        <w:numPr>
          <w:ilvl w:val="0"/>
          <w:numId w:val="2"/>
        </w:numPr>
        <w:spacing w:after="60" w:line="300"/>
      </w:pPr>
      <w:r>
        <w:rPr>
          <w:rFonts w:ascii="Calibri" w:cs="Calibri" w:eastAsia="Calibri" w:hAnsi="Calibri"/>
          <w:color w:val="0A0A0B"/>
          <w:sz w:val="22"/>
          <w:szCs w:val="22"/>
        </w:rPr>
        <w:t xml:space="preserve">Support multi-facteur avec TOTP ou Passkeys — remplacement pur du service OtpService par une abstraction.</w:t>
      </w:r>
    </w:p>
    <w:p>
      <w:pPr>
        <w:pStyle w:val="ListParagraph"/>
        <w:numPr>
          <w:ilvl w:val="0"/>
          <w:numId w:val="2"/>
        </w:numPr>
        <w:spacing w:after="60" w:line="300"/>
      </w:pPr>
      <w:r>
        <w:rPr>
          <w:rFonts w:ascii="Calibri" w:cs="Calibri" w:eastAsia="Calibri" w:hAnsi="Calibri"/>
          <w:color w:val="0A0A0B"/>
          <w:sz w:val="22"/>
          <w:szCs w:val="22"/>
        </w:rPr>
        <w:t xml:space="preserve">Fédération d'identité (OIDC) pour les comptes corporate.</w:t>
      </w:r>
    </w:p>
    <w:p>
      <w:r>
        <w:br w:type="page"/>
      </w:r>
    </w:p>
    <w:p>
      <w:pPr>
        <w:pStyle w:val="Heading1"/>
        <w:spacing w:after="120" w:before="240"/>
      </w:pPr>
      <w:r>
        <w:rPr>
          <w:rFonts w:ascii="Calibri" w:cs="Calibri" w:eastAsia="Calibri" w:hAnsi="Calibri"/>
          <w:b/>
          <w:bCs/>
          <w:color w:val="0A0A0B"/>
          <w:sz w:val="26"/>
          <w:szCs w:val="26"/>
        </w:rPr>
        <w:t xml:space="preserve">Annexe A — Sources PlantUML</w:t>
      </w:r>
    </w:p>
    <w:p>
      <w:pPr>
        <w:spacing w:after="120" w:before="0" w:line="320"/>
        <w:jc w:val="both"/>
      </w:pPr>
      <w:r>
        <w:rPr>
          <w:rFonts w:ascii="Calibri" w:cs="Calibri" w:eastAsia="Calibri" w:hAnsi="Calibri"/>
          <w:color w:val="0A0A0B"/>
          <w:sz w:val="22"/>
          <w:szCs w:val="22"/>
        </w:rPr>
        <w:t xml:space="preserve">Les trois diagrammes sont également fournis sous forme de sources PlantUML éditables, dans le répertoire </w:t>
      </w:r>
      <w:r>
        <w:rPr>
          <w:rFonts w:ascii="Consolas" w:cs="Consolas" w:eastAsia="Consolas" w:hAnsi="Consolas"/>
          <w:color w:val="0A0A0B"/>
          <w:sz w:val="20"/>
          <w:szCs w:val="20"/>
        </w:rPr>
        <w:t xml:space="preserve">/diagrammes/</w:t>
      </w:r>
      <w:r>
        <w:rPr>
          <w:rFonts w:ascii="Calibri" w:cs="Calibri" w:eastAsia="Calibri" w:hAnsi="Calibri"/>
          <w:color w:val="0A0A0B"/>
          <w:sz w:val="22"/>
          <w:szCs w:val="22"/>
        </w:rPr>
        <w:t xml:space="preserve"> du projet :</w:t>
      </w:r>
    </w:p>
    <w:p>
      <w:pPr>
        <w:pStyle w:val="ListParagraph"/>
        <w:numPr>
          <w:ilvl w:val="0"/>
          <w:numId w:val="2"/>
        </w:numPr>
        <w:spacing w:after="60" w:line="300"/>
      </w:pPr>
      <w:r>
        <w:rPr>
          <w:rFonts w:ascii="Calibri" w:cs="Calibri" w:eastAsia="Calibri" w:hAnsi="Calibri"/>
          <w:color w:val="0A0A0B"/>
          <w:sz w:val="22"/>
          <w:szCs w:val="22"/>
        </w:rPr>
        <w:t xml:space="preserve">01_use_case.puml — diagramme de cas d'utilisation</w:t>
      </w:r>
    </w:p>
    <w:p>
      <w:pPr>
        <w:pStyle w:val="ListParagraph"/>
        <w:numPr>
          <w:ilvl w:val="0"/>
          <w:numId w:val="2"/>
        </w:numPr>
        <w:spacing w:after="60" w:line="300"/>
      </w:pPr>
      <w:r>
        <w:rPr>
          <w:rFonts w:ascii="Calibri" w:cs="Calibri" w:eastAsia="Calibri" w:hAnsi="Calibri"/>
          <w:color w:val="0A0A0B"/>
          <w:sz w:val="22"/>
          <w:szCs w:val="22"/>
        </w:rPr>
        <w:t xml:space="preserve">02_class_diagram.puml — diagramme de classes</w:t>
      </w:r>
    </w:p>
    <w:p>
      <w:pPr>
        <w:pStyle w:val="ListParagraph"/>
        <w:numPr>
          <w:ilvl w:val="0"/>
          <w:numId w:val="2"/>
        </w:numPr>
        <w:spacing w:after="60" w:line="300"/>
      </w:pPr>
      <w:r>
        <w:rPr>
          <w:rFonts w:ascii="Calibri" w:cs="Calibri" w:eastAsia="Calibri" w:hAnsi="Calibri"/>
          <w:color w:val="0A0A0B"/>
          <w:sz w:val="22"/>
          <w:szCs w:val="22"/>
        </w:rPr>
        <w:t xml:space="preserve">03_sequence_diagram.puml — diagramme de séquence</w:t>
      </w:r>
    </w:p>
    <w:p>
      <w:pPr>
        <w:spacing w:after="120" w:before="0" w:line="320"/>
        <w:jc w:val="both"/>
      </w:pPr>
      <w:r>
        <w:rPr>
          <w:rFonts w:ascii="Calibri" w:cs="Calibri" w:eastAsia="Calibri" w:hAnsi="Calibri"/>
          <w:color w:val="0A0A0B"/>
          <w:sz w:val="22"/>
          <w:szCs w:val="22"/>
        </w:rPr>
        <w:t xml:space="preserve">Les rendus SVG et PNG correspondants se trouvent dans </w:t>
      </w:r>
      <w:r>
        <w:rPr>
          <w:rFonts w:ascii="Consolas" w:cs="Consolas" w:eastAsia="Consolas" w:hAnsi="Consolas"/>
          <w:color w:val="0A0A0B"/>
          <w:sz w:val="20"/>
          <w:szCs w:val="20"/>
        </w:rPr>
        <w:t xml:space="preserve">/diagrammes/rendus/</w:t>
      </w:r>
      <w:r>
        <w:rPr>
          <w:rFonts w:ascii="Calibri" w:cs="Calibri" w:eastAsia="Calibri" w:hAnsi="Calibri"/>
          <w:color w:val="0A0A0B"/>
          <w:sz w:val="22"/>
          <w:szCs w:val="22"/>
        </w:rPr>
        <w:t xml:space="preserve">. Les SVG sont directement zoomables dans un navigateur et constituent la version haute-fidélité du dossier.</w:t>
      </w:r>
    </w:p>
    <w:p>
      <w:pPr>
        <w:spacing w:after="120" w:before="400" w:line="320"/>
        <w:jc w:val="center"/>
      </w:pPr>
      <w:r>
        <w:rPr>
          <w:rFonts w:ascii="Calibri" w:cs="Calibri" w:eastAsia="Calibri" w:hAnsi="Calibri"/>
          <w:i/>
          <w:iCs/>
          <w:color w:val="6B6863"/>
          <w:sz w:val="22"/>
          <w:szCs w:val="22"/>
        </w:rPr>
        <w:t xml:space="preserve">— Fin du dossier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863"/>
        <w:sz w:val="18"/>
        <w:szCs w:val="18"/>
      </w:rPr>
      <w:t xml:space="preserve">— </w:t>
    </w:r>
    <w:r>
      <w:rPr>
        <w:rFonts w:ascii="Calibri" w:cs="Calibri" w:eastAsia="Calibri" w:hAnsi="Calibri"/>
        <w:color w:val="6B6863"/>
        <w:sz w:val="18"/>
        <w:szCs w:val="18"/>
      </w:rPr>
      <w:t xml:space="preserve">Page </w:t>
    </w:r>
    <w:r>
      <w:rPr>
        <w:rFonts w:ascii="Calibri" w:cs="Calibri" w:eastAsia="Calibri" w:hAnsi="Calibri"/>
        <w:color w:val="6B6863"/>
        <w:sz w:val="18"/>
        <w:szCs w:val="18"/>
      </w:rPr>
      <w:fldChar w:fldCharType="begin"/>
      <w:instrText xml:space="preserve">PAGE</w:instrText>
      <w:fldChar w:fldCharType="separate"/>
      <w:fldChar w:fldCharType="end"/>
    </w:r>
    <w:r>
      <w:rPr>
        <w:rFonts w:ascii="Calibri" w:cs="Calibri" w:eastAsia="Calibri" w:hAnsi="Calibri"/>
        <w:color w:val="6B6863"/>
        <w:sz w:val="18"/>
        <w:szCs w:val="18"/>
      </w:rPr>
      <w:t xml:space="preserve"> / </w:t>
    </w:r>
    <w:r>
      <w:rPr>
        <w:rFonts w:ascii="Calibri" w:cs="Calibri" w:eastAsia="Calibri" w:hAnsi="Calibri"/>
        <w:color w:val="6B6863"/>
        <w:sz w:val="18"/>
        <w:szCs w:val="18"/>
      </w:rPr>
      <w:fldChar w:fldCharType="begin"/>
      <w:instrText xml:space="preserve">NUMPAGES</w:instrText>
      <w:fldChar w:fldCharType="separate"/>
      <w:fldChar w:fldCharType="end"/>
    </w:r>
    <w:r>
      <w:rPr>
        <w:rFonts w:ascii="Calibri" w:cs="Calibri" w:eastAsia="Calibri" w:hAnsi="Calibri"/>
        <w:color w:val="6B686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863"/>
        <w:sz w:val="18"/>
        <w:szCs w:val="18"/>
      </w:rPr>
      <w:t xml:space="preserve">Telsa Charging Points — Conception de Données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0A0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A0A0B"/>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0A0A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6ac2e12e6924f978219a6b6f36de500c0588f4.png"/><Relationship Id="rId10" Type="http://schemas.openxmlformats.org/officeDocument/2006/relationships/image" Target="media/6a1fc2f65d561df915946b3811d215f2d0123f34.png"/><Relationship Id="rId11" Type="http://schemas.openxmlformats.org/officeDocument/2006/relationships/image" Target="media/10fbfa3be86ec75c43623e1070d6f6f02f7a6c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 Données — Telsa Charging Points</dc:title>
  <dc:subject>Dossier UML : cas d'utilisation, classes, séquence</dc:subject>
  <dc:creator>Lalo_GR</dc:creator>
  <dc:description>Dossier académique de conception</dc:description>
  <cp:lastModifiedBy>Un-named</cp:lastModifiedBy>
  <cp:revision>1</cp:revision>
  <dcterms:created xsi:type="dcterms:W3CDTF">2026-04-23T00:40:07.525Z</dcterms:created>
  <dcterms:modified xsi:type="dcterms:W3CDTF">2026-04-23T00:40:07.525Z</dcterms:modified>
</cp:coreProperties>
</file>

<file path=docProps/custom.xml><?xml version="1.0" encoding="utf-8"?>
<Properties xmlns="http://schemas.openxmlformats.org/officeDocument/2006/custom-properties" xmlns:vt="http://schemas.openxmlformats.org/officeDocument/2006/docPropsVTypes"/>
</file>