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convicted of criminal damage after smashing glass door of JP Morgan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7:33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Activitists had used hammers and chisels to cause ‘many thousands of pounds’ of damage to the bank’s offices in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climate change activists have been convicted of smashing a glass revolving door at JP Morgan’s European headquarters after a judge said their beliefs did not “afford them a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Stephanie Aylett, 29, Pamela Bellinger, 66, Amy Pritchard, 38, Adelheid Russenberger, 32 and Rosemary Webster, 66, used hammers and chisels to cause “many thousands of pounds” of damage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smashed a custom-built revolving door and a large glazed panel at the entrance to the US bank’s Victoria Embankment offices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 September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Pritchard told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the policies of JP Morgan had led to the deaths of “hundreds of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judge, Silas Reid, asked the jury to “put aside sympathy or prejudice” when the trial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“You may have views about those actions or organisations, you may have views about climate change. This is not a trial about climate change. It is a trial about criminal damage. It is nothing more than that and nothing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women were convicted of causing criminal damage after a two-week trial. Reid adjourned sentencing until 7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 told the jury: “The reasons behind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don’t afford them a defence in this case. None of these defendants did these things for the fun of it, or because they are criminal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it because they honestly believed it was something they needed to do. Well, they are not allowed to do it. It is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legal arguments Reid had ruled Aylett and her co-defendants could talk about their beliefs in relation to climate change in front of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“Ms Aylett is entitled to tell the jury about her beliefs. She is entitled to say what her beliefs about climate change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shocked, having previously dealt with Ms Aylett, if the jury came to any conclusion other than that she holds her beliefs about climate change with anything other than the utmost 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perfectly entitled to talk about their beliefs in relation to climate change. What they hoped to achieve must be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depth to which they have feelings about something is potentially very important. What will not happen is the defendants using the witness box to further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Russenberger told jurors: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direct action can, and does, lead to change … it’s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direct action that we have the right to vote even if we don’t own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deny that the damage was criminal, not all damage is criminal. I thought about how the board at JP Morgan would surely want to know about what was happening. The prosecution said I was going to damage the building come what may but that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suggested that the board members of JP Morgan knew what they were doing was wrong. I damaged a window because I believed that the board members of JP Morgan would consent to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 – Aylett, of St Albans, Herts; Bellinger, of Leicester; Pritchard, of Walthamstow; Russenberger, of Richmond-upon-Thames,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Webster, of Dorchester, Dorset, all denied but were convicted of criminal damage.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convicted of criminal damage after smashing glass door of JP Morgan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9-XGS1-DY4H-K1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convicted of criminal damage after smashing glass door of JP Morgan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