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faces Tory backlash over plans to broaden extremism definition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9:34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Figures on right of party fear move could have unintended impact on those with socially conservative viewsUK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is facing a backlash from Conservative MPs and peers over moves to create a broader of definition of extremism in response to what </w:t>
      </w:r>
      <w:hyperlink r:id="rId10" w:history="1">
        <w:r>
          <w:rPr>
            <w:rFonts w:ascii="arial" w:eastAsia="arial" w:hAnsi="arial" w:cs="arial"/>
            <w:b w:val="0"/>
            <w:i/>
            <w:strike w:val="0"/>
            <w:noProof w:val="0"/>
            <w:color w:val="0077CC"/>
            <w:position w:val="0"/>
            <w:sz w:val="20"/>
            <w:u w:val="single"/>
            <w:vertAlign w:val="baseline"/>
          </w:rPr>
          <w:t>Rishi Sunak describes as the threat of “mob rule”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communities secretary, is expected to unveil plans next week that would allow the government, universities and local authorities to cut off links to groups identified as “extremist”.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Organisations such as the Muslim Council of Britain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Palestine Action are among those that could be affected by the non-statutory move to block groups from funding or accessing venues if they are regarded as promoting an ideology that undermines “British values”. </w:t>
      </w:r>
      <w:hyperlink r:id="rId11" w:history="1">
        <w:r>
          <w:rPr>
            <w:rFonts w:ascii="arial" w:eastAsia="arial" w:hAnsi="arial" w:cs="arial"/>
            <w:b w:val="0"/>
            <w:i/>
            <w:strike w:val="0"/>
            <w:noProof w:val="0"/>
            <w:color w:val="0077CC"/>
            <w:position w:val="0"/>
            <w:sz w:val="20"/>
            <w:u w:val="single"/>
            <w:vertAlign w:val="baseline"/>
          </w:rPr>
          <w:t>The plan was reported by the Observer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rightwing Tory MP Miriam Cates and Lord Frost, the high-profile rightwing peer, are among those who have expressed opposition amid concerns that the move could have an inadvertent impact on anti-abortion groups, advocates for socially conservative causes and those opposed to transgender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 to define extremism or fundamental British values is very risky because one person’s extremism is another person’s sincerely held and lawful belief,” Cates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obvious is example is where I regularly call trans rights activists extremists for believing a man can be a woman just because he says he is, and that this gives him the right to enter women-only spaces, but equally I am called an extremist for believing there are only two biological sexes and that you can’t change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debates that we should be able to have lawfully in society. We should be able to call each other extremists, but it also means those views should not be banned,” said the MP, one of the leaders of the New Conservatives grouping of Tory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also raises the prospect of unusual alliances emerging between those who might disagree on other issues but who are united by hostility to the proposals, Cates said she would be raising her concerns with the government and other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Boris Johnson’s chief Brexit negotiator, said on X that he was “very much” in agreement with a tweet by Cates who had used the platform to say that a “broader definition of extremism” was not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proper enforcement of the laws we have against, for example, incitement to violence,” added Frost.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come after a speech outside Downing Street last Friday in which Sunak claimed extremist groups in the UK were “trying to tear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that came hours after George Galloway won a byelection in Rochdale, the prime minister said: “You cannot be part of our civic life if your agenda is to tear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contained no detail of new policies, save for a pledge that the government would “redouble” support for the Prevent counter-terrorism programme, demand that universities stop extremist activity on campus and take action on extremists entering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t>
      </w:r>
      <w:hyperlink r:id="rId12" w:history="1">
        <w:r>
          <w:rPr>
            <w:rFonts w:ascii="arial" w:eastAsia="arial" w:hAnsi="arial" w:cs="arial"/>
            <w:b w:val="0"/>
            <w:i/>
            <w:strike w:val="0"/>
            <w:noProof w:val="0"/>
            <w:color w:val="0077CC"/>
            <w:position w:val="0"/>
            <w:sz w:val="20"/>
            <w:u w:val="single"/>
            <w:vertAlign w:val="baseline"/>
          </w:rPr>
          <w:t>are also considering proposals</w:t>
        </w:r>
      </w:hyperlink>
      <w:r>
        <w:rPr>
          <w:rFonts w:ascii="arial" w:eastAsia="arial" w:hAnsi="arial" w:cs="arial"/>
          <w:b w:val="0"/>
          <w:i w:val="0"/>
          <w:strike w:val="0"/>
          <w:noProof w:val="0"/>
          <w:color w:val="000000"/>
          <w:position w:val="0"/>
          <w:sz w:val="20"/>
          <w:u w:val="none"/>
          <w:vertAlign w:val="baseline"/>
        </w:rPr>
        <w:t xml:space="preserve">  to ban MPs and councillors from engaging with groups such as the Palestine Solidarity Campaign (PSC), </w:t>
      </w:r>
      <w:hyperlink r:id="rId13"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put forward by the government’s adviser on political violence, John Woodcock, say mainstream political leaders should tell their representatives to employ a “zero-tolerance approach” to groups that use disruptive tactics or fail to stop “hate” on marches.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faces Tory backlash over plans to broaden extremism definition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s://www.theguardian.com/uk-news/2023/nov/04/plans-to-redefine-extremism-would-include-undermining-uk-values" TargetMode="External" /><Relationship Id="rId12" Type="http://schemas.openxmlformats.org/officeDocument/2006/relationships/hyperlink" Target="https://www.theguardian.com/world/2024/mar/03/ministers-consider-ban-mps-engaging-pro-palestine-climate-protesters" TargetMode="External" /><Relationship Id="rId13" Type="http://schemas.openxmlformats.org/officeDocument/2006/relationships/hyperlink" Target="https://www.theguardian.com/environment/extinction-rebellio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G-K0B1-JBNF-W3N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faces Tory backlash over plans to broaden extremism definition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