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South Australia tells gas industry the state is ‘at your disposal’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Tuesday 3:16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 in Adelaide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 energy minister tells industry ‘we are here to help’ while federal resources minister Madeleine King promotes carbon capture and storageFollow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Australia’s minister for energy and mining has told a conference of the oil and gas industry in Adelaide that his state government is “at your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Koutsantonis made the extraordinary comments during his address to the Australian Petroleum Production and Exploration Association national conference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oil and gas companies were needed to achieve net zero by 2050, claiming “we cannot transform our economy to net zero without this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thankful you are here. We are happy to a be recipient of Appea’s largesse in the form of coming here more often,” Koutsantonis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government is at your disposal, we are here to help and we are here to offer you a pathway 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Koutsantonis made the comments following a speech by federal resources minister, Madeleine King, who spoke about helping to develop a carbon capture and storage industry in Australia through the government’s future gas strategy.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it was important for Australia to remain a “reliable, essential” supplier of gas for domestic and export market as the world looked to reduce its emissions ahead of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capture and storage was a “necessary part of a wider decarbonisation effort”, with the government having released new acreage for greenhouse gas storage projects for the “first time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 is there, the knowhow is there,” said. “We want a regulatory system for carbon capture and storage that is robust and responsive and position Australians resources sector to bring new CCS projects on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also said the industry could obtain credits for lowering their emissions below baseline under the safeguard mechanism, but only “if they are verified and scientifically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announcements were welcomed by the Woodside chief executive and chair of Appea, Meg O’Neill, who said it provided “a great opportunity to outline the ongoing role of gas in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will guide a realistic pathway for Australia into the future whereby responsible resource development is understood and can continue,”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O’Neill said “regulatory certainty” was required if the government wanted to develop a carbon capture and storage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I believe this is a technology that may have been judged too soon,” she said. “It works.”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South Australia spokesperson Anna Slynn said the comments from King and Koutsantonis were “dangerous” given the imminent threat posed by the catastrophic risk of global heating, and pledged to make attendees “feel unwelcome”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climate scientists have been completely clear; there should be no further expansion of oil and gas if we want to avert complete climate catastrophe,” she said. “Life is in the balance. We will continue to make Appea feel unwelcome until they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w:t>
      </w:r>
      <w:hyperlink r:id="rId11" w:history="1">
        <w:r>
          <w:rPr>
            <w:rFonts w:ascii="arial" w:eastAsia="arial" w:hAnsi="arial" w:cs="arial"/>
            <w:b w:val="0"/>
            <w:i/>
            <w:strike w:val="0"/>
            <w:noProof w:val="0"/>
            <w:color w:val="0077CC"/>
            <w:position w:val="0"/>
            <w:sz w:val="20"/>
            <w:u w:val="single"/>
            <w:vertAlign w:val="baseline"/>
          </w:rPr>
          <w:t>Energy</w:t>
        </w:r>
      </w:hyperlink>
      <w:r>
        <w:rPr>
          <w:rFonts w:ascii="arial" w:eastAsia="arial" w:hAnsi="arial" w:cs="arial"/>
          <w:b w:val="0"/>
          <w:i w:val="0"/>
          <w:strike w:val="0"/>
          <w:noProof w:val="0"/>
          <w:color w:val="000000"/>
          <w:position w:val="0"/>
          <w:sz w:val="20"/>
          <w:u w:val="none"/>
          <w:vertAlign w:val="baseline"/>
        </w:rPr>
        <w:t xml:space="preserve">  Agency has said limiting global heating to 1.5C as set out in the Paris agreement meant there could be no new oil, gas or coal investment beyond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another oil and gas conference last year, Koutsantonis was caught up in </w:t>
      </w:r>
      <w:hyperlink r:id="rId12" w:history="1">
        <w:r>
          <w:rPr>
            <w:rFonts w:ascii="arial" w:eastAsia="arial" w:hAnsi="arial" w:cs="arial"/>
            <w:b/>
            <w:i/>
            <w:strike w:val="0"/>
            <w:noProof w:val="0"/>
            <w:color w:val="0077CC"/>
            <w:position w:val="0"/>
            <w:sz w:val="20"/>
            <w:u w:val="single"/>
            <w:vertAlign w:val="baseline"/>
          </w:rPr>
          <w:t>protests</w:t>
        </w:r>
      </w:hyperlink>
      <w:hyperlink r:id="rId12" w:history="1">
        <w:r>
          <w:rPr>
            <w:rFonts w:ascii="arial" w:eastAsia="arial" w:hAnsi="arial" w:cs="arial"/>
            <w:b w:val="0"/>
            <w:i/>
            <w:strike w:val="0"/>
            <w:noProof w:val="0"/>
            <w:color w:val="0077CC"/>
            <w:position w:val="0"/>
            <w:sz w:val="20"/>
            <w:u w:val="single"/>
            <w:vertAlign w:val="baseline"/>
          </w:rPr>
          <w:t xml:space="preserve"> by </w:t>
        </w:r>
      </w:hyperlink>
      <w:hyperlink r:id="rId12"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targeting fossil fuel producers over its role in driving climate change.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Australia tells gas industry the state is ‘at your disposal’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oct/29/email-newsletters-guardian-australia-best-daily-news-emails-newsletter-free-sign-up-inbox-subscribe-headlines?CMP=copyembed" TargetMode="External" /><Relationship Id="rId11" Type="http://schemas.openxmlformats.org/officeDocument/2006/relationships/hyperlink" Target="https://www.theguardian.com/environment/energy" TargetMode="External" /><Relationship Id="rId12" Type="http://schemas.openxmlformats.org/officeDocument/2006/relationships/hyperlink" Target="https://www.theguardian.com/australia-news/2022/oct/21/south-australia-wont-supply-gas-to-nsw-during-shortages-minister-warn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7S-8G91-DY4H-K30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Australia tells gas industry the state is ‘at your disposal’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231</vt:lpwstr>
  </property>
  <property fmtid="{D5CDD505-2E9C-101B-9397-08002B2CF9AE}" pid="3" name="LADocCount">
    <vt:lpwstr>1</vt:lpwstr>
  </property>
  <property fmtid="{D5CDD505-2E9C-101B-9397-08002B2CF9AE}" pid="4" name="LADocumentID:231">
    <vt:lpwstr>Doc::urn:hlct:16|contextualFeaturePermID::1519360</vt:lpwstr>
  </property>
  <property fmtid="{D5CDD505-2E9C-101B-9397-08002B2CF9AE}" pid="5" name="UserPermID">
    <vt:lpwstr>urn:user:PA195023767</vt:lpwstr>
  </property>
</Properties>
</file>