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costing West End millions in lost trade'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BOSSES hit out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yesterday and said the disruption was costing their businesses millions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 Tyrell, chief executive of the New West End Company, told Sky News the demonstrations had brought a feeling of 'intimidation' to the shopping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had caused a 25 per cent drop in spending in the area, with £12million less spent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like the mayor and the Metropolitan Police to find a more appropriate location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protesters to continue their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not hold the West End to ransom,' Mr Tyrell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End businesses fully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actually this is causing significant damage to our area.' Sefan White, 24, who works for a company producing bar snacks in sustainable packaging, said he was stopped from getting to work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go round Camden on a 30-pub journey and we're going to be late now,' he said. 'We are probably going to lose money today.' Music student Anouska Stahlmann, 20,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forced her mother and elderly grandparents to walk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find alternative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mother has lupus, while her grandparents, who are in their 70s, were travelling from their home in Buckinghamshire to see Ms Stahlmann's sister perform in a play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grandma has sciatica and my grandad has asthma, using the Tube is not an option in case there is disruption,' she told the Press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issue with wanting to better the environment but their methods are seriously flawed. I find it awful they're disintegrating into a rent-a-mob mentality, really. I'd expect better.'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also criticised the movement for targeting public transport. He said: 'The best way to address climate change is to encourage people to use public transport or to walk and cycle so inadvertently the protesters are driving people to use taxis.' Transport bosses said the disruption had forced the diversion of 55 bus routes, affecting 500,000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OPINION? Text the word VIEWS followed by your comment, name and where you live to 65700.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network charges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'are costing West End millions in lost trade'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7-SK61-DYTY-C0T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'are costing West End millions in lost trade'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