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costing West End millions in lost trade'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BOSSES hit out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yesterday and said the disruption was costing their businesses millions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 Tyrell, chief executive of the New West End Company, told Sky News the demonstrations had brought a feeling of 'intimidation' to the shopping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had caused a 25 per cent drop in spending in the area, with £12million less spent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the mayor and the Metropolitan Police to find a more appropriate location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protesters to continue their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not hold the West End to ransom,' Mr Tyrell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End businesses fully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actually this is causing significant damage to our area.' Sefan White, 24, who works for a company producing bar snacks in sustainable packaging, said he was stopped from getting to work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go round Camden on a 30-pub journey and we're going to be late now,' he said. 'We are probably going to lose money today.' Music student Anouska Stahlmann, 20,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forced her mother and elderly grandparents to walk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find alternative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has lupus, while her grandparents, who are in their 70s, were travelling from their home in Buckinghamshire to see Ms Stahlmann's sister perform in a play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grandma has sciatica and my grandad has asthma, using the Tube is not an option in case there is disruption,' she told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issue with wanting to better the environment but their methods are seriously flawed. I find it awful they're disintegrating into a rent-a-mob mentality, really. I'd expect better.'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also criticised the movement for targeting public transport. He said: 'The best way to address climate change is to encourage people to use public transport or to walk and cycle so inadvertently the protesters are driving people to use taxis.' Transport bosses said the disruption had forced the diversion of 55 bus routes, affecting 500,000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 Text the word VIEWS followed by your comment, name and where you live to 65700.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network charges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'are costing West End millions in lost trade'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SK61-DYTY-C1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'are costing West End millions in lost trade'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