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Barclays defies green lobby with fuel pledge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Mulholland and Rachel Millard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defied green activists with a pledge to invest in new oil and gas projects to help Europe wean itself off Russian fossil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said that it intends to take a "pragmatic" approach to energy pro jects amid fears that supplies risk running short across Europe following Vladimir Putin's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Bosses pledged to continue investment in oil and gas as a climate pro tester glued herself to a chair at the lender's annual meeting in Manchester. Almost a fifth of shareholders who cast a vote at the meeting rejected the lender's climate strategy in a further sign of their displeasure.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rival bank Standard Chartered was also hit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its own annual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a reappraisal of fossil fuels across the City. Many finance companies have sought to cut down on their investments in the industry over cli mate change concerns in the past few years, with Norway's $1.4trillion (£1.1 trillion) sovereign wealth fund announcing plans to sell out of oil and coal as long ago as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bankers and investors are now rethinking their position as the West scrambles to free itself from Russian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document sent to shareholders, Barclays said: "The appalling invasion of Ukraine is starting to result in energy supply pressures in Europe and increased concerns over energy security and affordability, which govern ments will need support in addressing.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financial services industry therefore needs to take a considered and pragmatic approach to near-term energy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oil producer Shell is expected to throw a fresh focus on energy prices today by unveiling record quarterly profits as Britain votes in local elections. Analysts expect profits of £7bn, following rival BP's £5.4bn profit announced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is seeking to reach net zero by 2050. The bank said that under its emissions targets, it has "a carbon budget for financing oil and gas producers that is consistent" with keeping global warming within 1.5C.</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disrupted the meetings of Barclays and Standard Chartered shareholders yesterday, demanding both banks stop financing fossil fuelsREYNOLDS TOM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Barclays defies green lobby with fuel pledge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CJ-YSC1-DYTY-C0M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defies green lobby with fuel pledge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urn:user:PA195023767</vt:lpwstr>
  </property>
</Properties>
</file>