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Counsel from Hutton Inquiry made court ruling against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who ruled against the Metropolitan Police's use of a public order preventing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made his name as the lead counsel to the Hutton Inquiry into the death of David Kelly, the government scientist . Lord Justice Dingemans - formerly James Dingemans QC - represented the judicial inquiry throughout the 2003 investigation, which exonerated Tony Blair of "sexing-up" a dossier on Iraq's chemical weapons that formed the Government's case for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Kelly took his own life after he was named as the source of the BBC investigation into the dossier.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Hutton, who carried out the inquiry, concluded that the accusation against Mr Blair and his government was "unfounded" and that nobody could have anticipated that Dr Kelly would take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Hutton report was published, Mr Blair told the Commons: "The allegation that I or anyone else lied to this House or deliberately misled the country … is itself the real lie." Lord Justice Dingemans, a father of three who lives in Haywards Heath, West Sussex, was praised for his "extraordinary mental stamina" throughout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compared to that of a Test match batsman lasting an entire day at the crease," The Daily Telegraph reported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Graduating from Mansfield College, Oxford, Lord Justice Dingemans was a QC from 2002 until 2013, when he was appointed a High Court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he took up the position of a Lord Justice of Appeal in the Court of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presided over yesterday's judgment alongside Mr Justice Chamberlain - formerly Martin Chamberlain QC - who was appointed as a Deputy High Court Judge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Justice Chamberlain successfully defended the UK's ban on broadcast political advertising in the European Court of Human Rights.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Justice Chamberlain, left, and Lord Justice Dingemans made yesterday's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Counsel from Hutton Inquiry made court ruling against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H-NF51-DYTY-C1N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Counsel from Hutton Inquiry made court ruling against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urn:user:PA195023767</vt:lpwstr>
  </property>
</Properties>
</file>