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Emergency law called for after road to Dover is blocked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and Mason Boycott-Owen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chiefs called for emergency legislation to prevent further Insulate Britain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after the group tar geted HGV drivers and blocked the entrance to the port of Dover for more than two hours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granted National Highways an interim injunction pre venting protesters from occupying the A20 and strategic roads linked to the Port of Dover after 39 members of Insulate Britain were arrested by Kent police for blocking the road as well as two who glued themselves to the top of a tanker.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created long queues of vehicles, with several truckers remonstrating with the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Scott, the police and crime commissioner for Kent, said the Government needed to go further than reactive injunctions limited to specific roads. "We need to protect critical infrastructure including hospitals, ports and highways from blockages or obstruction otherwise they are going to keep doing it," he said. He also called for obstruction of the highway to become an offence that carried a prison term, rather than only a fine as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Jones, the serious and organised crime lead for the Association of Police and Crime Commissioners, said: "I support the call for emergency legislation. We have seen a growing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bringing large parts of the country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"We will not tolerate the recklessness of these few activists and the police continue to have our full support in cracking down on their dangerous behaviour."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protesters disrupt the entrance into the Kent port yesterday. The aim of the group, which is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is to force the Government to fund fully the insulation of all social housing by 2025LORRIMAN JAMIE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Emergency law called for after road to Dover is blocked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P7-FPX1-DYTY-C2D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law called for after road to Dover is blocked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urn:user:PA195023767</vt:lpwstr>
  </property>
</Properties>
</file>