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Environmentalists accuse protesters of setting back action on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and current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and other environmentalists have accused the group of setting back action on climate change by blocking the printing of several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prominent XR member said the move had turned environmental activism into a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from all the papers XR blockaded have been working hard to report the climate crisis while thousands of people from every part of the UK are tackling it," said the ex-activist, who stepped back from the group last year. "More needs to be done, but it makes no sense to deliberately adopt divisive and partisan culture-war tactics at a time when bolder action on climate change is winning support across politics and across almost the full spectrum of public opinion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current XR activist said the move risked alienating newspaper readers, including her grandfather. "He wants to act on the climate," she said. "If he reads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stopped his paper coming, that won't make him more positive about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take direct action against newspapers it disagrees with is in contradiction to XR's earlier strategy, which sought to engage with all sections of the media. In a 2019 statement, it said: "This is not a calling out of all media, but a calling in of those that work at the Daily Mail, Mail Online, Mail on Sunday, Daily Telegraph and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which backed the group when it shut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said "a free, diverse press and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both hallmarks of a healthy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Sauven, its executive director, added: "Greenpeace has been working with the news media for five decades, and we know the vital role they play in informing the public, exposing environmental abuse, and holding powerful interests to account."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Environmentalists accuse protesters of setting back action on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Y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Environmentalists accuse protesters of setting back action on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