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Fracking head quits over policy driven by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Vinjeru Mkandawire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NATASCHA ENGEL has quit her role as commissioner for shale gas six months into the role, saying the Government was listening to activists rather than "science and evidence" over fracking.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MP told Greg Clark, the business secretary, yesterday that she was resigning with immediate effect. She was backed by Sir Jim Ratcliffe's Ineos, the energy and petrochemicals company controlled by Britain's richest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"Ineos shares Natascha Engel's frustration at a lack of government action to develop a policy environment that would allow this fledgling industry to develop for the good of the UK economy. Gas is the cleanest fossil fuel and UK gas has a lower carbon footprint compared to imports. To suggest otherwise is misleading in the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departure comes amid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has seen climate change activists bring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with demands to bring greenhouse gas emissions to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supporters of fracking argue that it would reduce Britain's reliance on gas imports. The UK spends £400million a month importing foreign gas to warm 8 out of 10 homes. Ineos and fellow fracking firm Cuadrilla have lobbied against government rules that require companies to stop fracking if tremors of 0.5 magnitude or above are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Fracking head quits over policy driven by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K-3MN1-JCBW-N2S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Fracking head quits over policy driven by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