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France considers ban on Black Friday sales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Samuel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Friday could be banned in France on the grounds that it is bad for the planet, promotes "overconsumption" and flouts strict rules on sales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Elisabeth Borne, the country's ecological transition minister, appeared to back the idea this week, warning against "frenzied consumerism" linked to the sales weekend and its negative impact on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on Monday agreed to add the proposed ban to an "anti-waste" bill that will be debated in parliament early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was tabled by Delphine Batho, France's former environment minister and a Green MP, in the name of cracking down on "overconsumption". She and other environmentally-minded MPs want Black Friday advertising to be considered "aggressive commercial practices". Under current French law these are punishable by a maximum sentence of two years in prison and a (EURO)300,000 (£256,000)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Friday celebrates a model of consumption that is anti-ecological and anti-social," said MP Matthieu Orphelin, a former member of LREM (En Marche), the party of Emmanuel Macron,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anti-capitalist groups have pledged to launch a "Block Friday" operation to disrupt tomorrow's online sale, which has not been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council of France, an umbrella group, said it "regretted" suggestions that Black Friday was devoted to consumerism and incited people to buy products they did not need. "Using the word frenzy gives the impression that consumers are not committed and responsible citizens,"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suffering a drop in business due to months of crippling "yellow vest"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government "should rejoice rather than deplore (Black Friday) as everything that kick-starts and maintains consumption is good for commerce and thus for the French economy,"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Black Friday, which follows Thanksgiving in America, sees a significant amount of shoppers head to high-street stores and online brands in an attempt to find the best deals.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considers ban on Black Friday sales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M1-7881-JCBW-N0D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considers ban on Black Friday sales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urn:user:PA195023767</vt:lpwstr>
  </property>
</Properties>
</file>