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Paint attack on The Telegraph was minimal, says eco activist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Bodkin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"RECKLESS"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spray-painted The Telegraph's offices claimed they tried to minimise damage to the building, as they walked free from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used fire extinguishers to spray green paint on March 22 this year, part of a day of stunts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that also targeted the buildings of the Daily Mail and News UK, which publishes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Hempstock, 49, and Benedict Mango, 56, were captured on CCTV moving pedestrians aside before daubing large areas of the front of The Telegraph's building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pleaded not guilty on the basis that the "minimal" damage was outweighed by the need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 heard that despite aiming for the tall glass windows, green paint had been splattered onto the surrounding stone facade, some of which has proved impossible to remove despite three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Jonas, district judge, rejected both not-guilty pleas, fining the defendants £275 each and imposing £465 in costs, plus a surcharge.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Mango told the court that the five tall windows at the front of the building near Victoria Station had provided a "good opportunity for a large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accomplice admitted that the effect was less than it might have been because the converted fire extinguishers they used to fire out the green paint were over-pressured.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Hempstock said: "At the outset it was in the forefront of our minds to conduct the action in a manner that would minimise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pointed out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sent a separate team to help clean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Jonas said that the pair's actions were "reckless", finding them guilty of criminal damage.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Paint attack on The Telegraph was minimal, says eco activist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9K-Y3Y1-DYTY-C0J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Paint attack on The Telegraph was minimal, says eco activist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