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are 'struggling' with rise in violent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has increased 18-fold in the last 20 years, figures have revealed, as a report warns that the police are illequipped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officers have been injured and millions of pounds of damage has been caused to property, as people have taken to the streets to demonstrate about issues ranging from the imposition of tuition fees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counterdemonstrations have been marred by civil unrest and violence. Last year, a number of cities were brought to a standstill for several days following action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Police Foundation - an independent think tank - warns that the dramatic increase in the number of such events is putting a huge strain on already stretched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figures published in the report, the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each year has risen steadily, from 83 in 2007 to 280 by 2016. But there has also been a rise in the number of events that turn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Foundation warned that in 2000, there were just seven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which confrontational tactics were used, but that figure had soared to 126 by last year. The report warns that dealing with violent events requires huge resources on the part of forces that are already struggling to deal with a wide range of competing priorities. The Police Foundation review into policing in England and Wales paints a bleak picture of the thin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findings from what will be a two-year study suggest forces are not currently equipped to meet the range and complexity of the challenges they face. While much of the demand is now moving away from traditional crimes such as car theft and burglary to online offences, police forces are also having to cope with ever more frequent and increasingly violent demonstrations of public anger.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are 'struggling' with rise in violent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G1-SBD1-JCBW-N1H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are 'struggling' with rise in violent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