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Policing of demonstrations sparks review of PCCs' role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must be held to account for "controversial" decisions such as allowing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to stop a printworks, elected police and crime commissioners (PCCs) are to be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will this week publish a review of PCCs' role amid concerns that some are unwilling to challenge their police chiefs to explain "operational"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cases including a decision not to halt an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preventing publication of national newspapers by blockading printing presses at Broxbourne,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chief constable Owen Weatherill said his force was "committed to facilitating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ensuring compliance" instead of dis persing some 100 demonstrators sitting on the road or chained to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similar controversy over the policing of protesters who toppled the statue of slave trader Edward Colston in Bristol, after which Ms Patel demanded an explanation from Avon and Somerset chief constable 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A source said: "There are some chief constables who, when a PCC asks what has gone on at a particular inci dent, would say: 'No, it's operational.' There are other PCCs who say: 'I am not going to question the approach of officers because it is operational.'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want to know why police made particular decisions. It's about making that really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consult on everyone's role in policing: what is the role of the Home Secretary in relation to policing, what is the role of the chief constable and what is the role of the PCC and how do they interplay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bringing about consistency when there are 43 police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PCCs also face new curbs to prevent them hiring and firing chief constables "at will" under the shake-up.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PCCs, who replaced police authorities when they were introduced in 2012 by Theresa May as home secretary, have the power to hire and fire chief constables and set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although they must go to the police and crime panel for approval to hire a chief constable, there is no obstacle if they wish to dismiss them if the relationship breaks down.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of demonstrations sparks review of PCCs' role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2C-W0K1-JCBW-N46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Policing of demonstrations sparks review of PCCs' role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