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Queen to miss State Opening of Parliament; Prince Charles to read speech on monarch's behalf owing to 'episodic mobility problems'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Ward;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will miss the State Opening of Parliament today for the first time in almost 60 years as she contin ues to experience "episodic mobility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will read the Queen's Speech on her behalf, the first time he has taken on such a major constitutional duty, Buckingham Palace announced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third time that the Queen has missed the event during her reign, but is the first time Letters Patent have been used to hand the responsibility to another Royal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be interpreted as a significant shift in Prince Charles's responsibilities as heir to the throne. The Duke of Cambridge will also accompany him as second in line to the throne.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"The Queen continues to experience episodic mobility problems and, in consultation with her doctors, has reluctantly decided that she will not attend the State Opening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Majesty's request, and with the agreement of the relevant authorities, The Prince of Wales will read the Queen's Speech on Her Majesty's behalf, with The Duke of Cambridge also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known whether the wording of the speech will be altered to reflect that the Prince is reading it on behalf of his mother, who traditionally refers to "my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two previous occasions that the Queen was absent and the speech was read by the Lord Chancellor, changes were not made and it was delivered in Her Majesty's own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38 pieces of proposed legislation will be announced in the Queen's Speech - more than the preceding year - as Boris Johnson looks to move on from heavy local election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night, the Prime Minister said: "This Queen's Speech will get our country back on track, and I will strive - and this Government will strive - night and day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spite of everything we have been through, we are going to ensure that over the two years we have left in this Parliament, we spend every second uniting and levelling up this country, exactly as we said we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will recommit to hardhitting reforms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 despite sizeable opposition from the House of Lords, announcing a new Bill to drive through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protesters who lock themselves to buildings face up to six months in jail while those who disrupt key national infrastructure, such as rail ways and airports, could be jailed for a year. Both could face unlimited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attempt by ministers to curb the impact of so-called "guerrilla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launched by environmental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can also disclose that new measures will be announced to force P&amp;O and other ferry companies to pay staff on board ships the UK minimum wage. The proposal would create a legal obligation on ports to make sure vessels that arrive, which could also include cruise ships and tankers, pay minimum wage to staff, with sanctions for ports and UK shipping operators who disobey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expected announcements will be dropped as part of a new Downing Street push to focus on Tory policies, meaning the foie gras and fur imports ban will be ditched.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not expected to include new measures to tackle the cost of living, despite Tory strategists warning it will be the dominant issue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changes to taxation levels and spending will have to wait until the autumn Budget, according to Treasury sources - though Mr Johnson hopes other non-fiscal moves can be announced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 will talk about the scale of the cost of living challenge and the need to help those affected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expected to say: "We will get the country through the aftershocks of Covid, just as we got through Covid, with every ounce of ingenuity and compassion and hard work ... by urgently pressing on with our mission to create the high-wage, high-skilled jobs that will drive economic growth across our whole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long-term, sustainable solution to ease the burden on families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 4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 to miss State Opening of Parliament Prince Charles to read speech on monarch's behalf owing to 'episodic mobility problems'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M-TY81-JCBW-N4D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 to miss State Opening of Parliament Prince Charles to read speech on monarch's behalf owing to 'episodic mobility problems'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