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Remainers and eco-zealots are driven by their feelings, not facts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a middle--aged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broke down in tears while defending himself in court against public order charges relating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April. "For 22 years I have been acting... in all aspects of my life, to combat climate change," sobbed Dr Steve Melia, justifying his rule--breaking. "I realised that this is not enough." The lecturer had "never even had a parking ticket before". But the climate "catastrophe" was so grave as to force him to abandon all self--control.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thoughts on reading this were: "Spare me the self--pity." Melia's punishment, a £500 fine plus costs, was small change compared to the price and inconvenience of bringing the capital to a halt. But given the absolutism that has engulfed the climate debate - with even those who agree that global warming requires urgent attention, yet disagree on the solutions, branded "deniers" - it is hardly surprising to see visceral reactions combined with a sense of rigid moral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Melia is not alone. Politics - particularly among eco--zealots, Left-wing radicals, and hardcore Remainers - is becoming an increasingly emotional exercise. I first noticed this after the Tory victory in 2015. Left--wing friends reported tears, horror, depression, behaving as though David Cameron, the triangulating heir to Blair, was a far--Right fascist. On election night, the writer Laurie Penny tweeted: "Please everyone take care of each other tonight. So many are already close to losing hope. Reach out to that friend. I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an unexpected Tory majority prompted a lachrymose trickle, Brexit opened the flood--gates. Remainers suffered "mental distress", akin to a "chronic migraine", according to researchers from Warwick University. Despite championing open borders, they are more likely to close themselves off from Leave voters, are less comfortable having Eurosceptic friends and more likely to object if a close relative marries a Brexiteer than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explains this melodrama? There may be cognitive biases at play. The US psychologist Jonathan Haidt has shown how progressives particularly struggle to comprehend the motives of conservatives; he found that, when asked to think as their opponents do, conservatives answered moral questions as the liberal would have done, yet liberals were unable to do the reverse. This tendency to mischaracterise perhaps explains liberals' heightened fear of ending upon the losing side - since your opponents must have the worst of intentions - and why many seek solace in forms of "in--group love" like the Twitter hashtag #FBPE ("follow back, pro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doesn't help that in some quarters fragility has gained a social currency of its own. Over the weekend, the Democratic Socialists of America provoked ridicule after clips from their annual convention emerged online. One delegate thanked his "comrades" for waving their hands instead of applauding, since loud noises could be harmful. It's easy to laugh at the excesses, but many progressive movements possess this quasi--religious quality - with strength of feeling taking precedence over strength of argument: "It's true because I feel it's true to the depth of my being - not because I can actually prove it." What better example than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entitled belief that normal rules should be suspended, because they care so deeply.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Madeline Grant on Twitter @Madz_Grant;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Remainers and eco-zealots are driven by their feelings, not facts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X-6C41-JCBW-N46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Remainers and eco-zealots are driven by their feelings, not facts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